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9B318" w14:textId="77777777" w:rsidR="00604354" w:rsidRDefault="00604354" w:rsidP="00604354">
      <w:pPr>
        <w:jc w:val="right"/>
      </w:pPr>
      <w:r>
        <w:rPr>
          <w:rFonts w:ascii="Arial" w:hAnsi="Arial" w:cs="Arial"/>
          <w:b/>
          <w:noProof/>
          <w:sz w:val="20"/>
          <w:szCs w:val="20"/>
          <w:lang w:eastAsia="en-AU"/>
        </w:rPr>
        <w:drawing>
          <wp:anchor distT="0" distB="0" distL="114300" distR="114300" simplePos="0" relativeHeight="251658240" behindDoc="1" locked="0" layoutInCell="1" allowOverlap="1" wp14:anchorId="5459B766" wp14:editId="10DDB1D4">
            <wp:simplePos x="0" y="0"/>
            <wp:positionH relativeFrom="column">
              <wp:posOffset>2066925</wp:posOffset>
            </wp:positionH>
            <wp:positionV relativeFrom="paragraph">
              <wp:posOffset>-229235</wp:posOffset>
            </wp:positionV>
            <wp:extent cx="1682165" cy="99856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K-LOGO-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2165" cy="998564"/>
                    </a:xfrm>
                    <a:prstGeom prst="rect">
                      <a:avLst/>
                    </a:prstGeom>
                  </pic:spPr>
                </pic:pic>
              </a:graphicData>
            </a:graphic>
            <wp14:sizeRelH relativeFrom="page">
              <wp14:pctWidth>0</wp14:pctWidth>
            </wp14:sizeRelH>
            <wp14:sizeRelV relativeFrom="page">
              <wp14:pctHeight>0</wp14:pctHeight>
            </wp14:sizeRelV>
          </wp:anchor>
        </w:drawing>
      </w:r>
    </w:p>
    <w:p w14:paraId="5D986CAB" w14:textId="77777777" w:rsidR="00604354" w:rsidRDefault="00604354" w:rsidP="00604354">
      <w:pPr>
        <w:jc w:val="right"/>
      </w:pPr>
    </w:p>
    <w:p w14:paraId="3B8DCADE" w14:textId="77777777" w:rsidR="00604354" w:rsidRDefault="00604354" w:rsidP="00604354">
      <w:pPr>
        <w:spacing w:before="120" w:after="120" w:line="240" w:lineRule="auto"/>
        <w:jc w:val="center"/>
        <w:rPr>
          <w:rFonts w:ascii="Arial" w:hAnsi="Arial" w:cs="Arial"/>
          <w:b/>
          <w:sz w:val="24"/>
          <w:szCs w:val="24"/>
        </w:rPr>
      </w:pPr>
    </w:p>
    <w:p w14:paraId="49AC6BF5" w14:textId="77777777" w:rsidR="00604354" w:rsidRDefault="00604354" w:rsidP="00604354">
      <w:pPr>
        <w:spacing w:before="120" w:after="120" w:line="240" w:lineRule="auto"/>
        <w:jc w:val="center"/>
        <w:rPr>
          <w:rFonts w:ascii="Arial" w:hAnsi="Arial" w:cs="Arial"/>
          <w:b/>
          <w:sz w:val="24"/>
          <w:szCs w:val="24"/>
        </w:rPr>
      </w:pPr>
    </w:p>
    <w:p w14:paraId="76B67084" w14:textId="77777777" w:rsidR="00604354" w:rsidRPr="006E7D5C" w:rsidRDefault="009E5785" w:rsidP="00604354">
      <w:pPr>
        <w:spacing w:before="120" w:after="120" w:line="240" w:lineRule="auto"/>
        <w:jc w:val="center"/>
        <w:rPr>
          <w:rFonts w:ascii="Arial" w:hAnsi="Arial" w:cs="Arial"/>
          <w:b/>
          <w:sz w:val="24"/>
          <w:szCs w:val="24"/>
        </w:rPr>
      </w:pPr>
      <w:r>
        <w:rPr>
          <w:rFonts w:ascii="Arial" w:hAnsi="Arial" w:cs="Arial"/>
          <w:b/>
          <w:sz w:val="24"/>
          <w:szCs w:val="24"/>
        </w:rPr>
        <w:t>OBJECT</w:t>
      </w:r>
      <w:r w:rsidR="00604354" w:rsidRPr="006E7D5C">
        <w:rPr>
          <w:rFonts w:ascii="Arial" w:hAnsi="Arial" w:cs="Arial"/>
          <w:b/>
          <w:sz w:val="24"/>
          <w:szCs w:val="24"/>
        </w:rPr>
        <w:t xml:space="preserve">S AND REASONS FOR PROPOSED DIFFERENTIAL RATES </w:t>
      </w:r>
    </w:p>
    <w:p w14:paraId="500761FA" w14:textId="262D17E3" w:rsidR="00604354" w:rsidRPr="006E7D5C" w:rsidRDefault="00604354" w:rsidP="00604354">
      <w:pPr>
        <w:spacing w:after="120" w:line="240" w:lineRule="auto"/>
        <w:jc w:val="center"/>
        <w:rPr>
          <w:rFonts w:ascii="Arial" w:hAnsi="Arial" w:cs="Arial"/>
          <w:b/>
          <w:color w:val="000000" w:themeColor="text1"/>
          <w:sz w:val="24"/>
          <w:szCs w:val="24"/>
        </w:rPr>
      </w:pPr>
      <w:r w:rsidRPr="006E7D5C">
        <w:rPr>
          <w:rFonts w:ascii="Arial" w:hAnsi="Arial" w:cs="Arial"/>
          <w:b/>
          <w:sz w:val="24"/>
          <w:szCs w:val="24"/>
        </w:rPr>
        <w:t xml:space="preserve">FOR THE YEAR </w:t>
      </w:r>
      <w:r w:rsidR="00144E1C">
        <w:rPr>
          <w:rFonts w:ascii="Arial" w:hAnsi="Arial" w:cs="Arial"/>
          <w:b/>
          <w:color w:val="000000" w:themeColor="text1"/>
          <w:sz w:val="24"/>
          <w:szCs w:val="24"/>
        </w:rPr>
        <w:t xml:space="preserve">ENDING 30 JUNE </w:t>
      </w:r>
      <w:r w:rsidR="0075206F">
        <w:rPr>
          <w:rFonts w:ascii="Arial" w:hAnsi="Arial" w:cs="Arial"/>
          <w:b/>
          <w:color w:val="000000" w:themeColor="text1"/>
          <w:sz w:val="24"/>
          <w:szCs w:val="24"/>
        </w:rPr>
        <w:t>20</w:t>
      </w:r>
      <w:r w:rsidR="0006022E">
        <w:rPr>
          <w:rFonts w:ascii="Arial" w:hAnsi="Arial" w:cs="Arial"/>
          <w:b/>
          <w:color w:val="000000" w:themeColor="text1"/>
          <w:sz w:val="24"/>
          <w:szCs w:val="24"/>
        </w:rPr>
        <w:t>2</w:t>
      </w:r>
      <w:r w:rsidR="002A3925">
        <w:rPr>
          <w:rFonts w:ascii="Arial" w:hAnsi="Arial" w:cs="Arial"/>
          <w:b/>
          <w:color w:val="000000" w:themeColor="text1"/>
          <w:sz w:val="24"/>
          <w:szCs w:val="24"/>
        </w:rPr>
        <w:t>6</w:t>
      </w:r>
    </w:p>
    <w:p w14:paraId="46468E8F" w14:textId="77777777" w:rsidR="00604354" w:rsidRPr="00BF6738" w:rsidRDefault="00604354" w:rsidP="00604354">
      <w:pPr>
        <w:spacing w:after="0" w:line="240" w:lineRule="auto"/>
        <w:jc w:val="center"/>
        <w:rPr>
          <w:rFonts w:ascii="Arial" w:hAnsi="Arial" w:cs="Arial"/>
          <w:sz w:val="20"/>
          <w:szCs w:val="20"/>
        </w:rPr>
      </w:pPr>
    </w:p>
    <w:p w14:paraId="1BD7DC84" w14:textId="77777777" w:rsidR="00604354" w:rsidRPr="00604354" w:rsidRDefault="00604354" w:rsidP="00604354">
      <w:pPr>
        <w:spacing w:after="0" w:line="240" w:lineRule="auto"/>
        <w:jc w:val="both"/>
        <w:rPr>
          <w:rFonts w:ascii="Arial" w:hAnsi="Arial" w:cs="Arial"/>
          <w:b/>
          <w:sz w:val="20"/>
          <w:szCs w:val="20"/>
        </w:rPr>
      </w:pPr>
      <w:r w:rsidRPr="00604354">
        <w:rPr>
          <w:rFonts w:ascii="Arial" w:hAnsi="Arial" w:cs="Arial"/>
          <w:sz w:val="20"/>
          <w:szCs w:val="20"/>
        </w:rPr>
        <w:t xml:space="preserve">In accordance with Section 6.36 of the </w:t>
      </w:r>
      <w:r w:rsidRPr="00604354">
        <w:rPr>
          <w:rFonts w:ascii="Arial" w:hAnsi="Arial" w:cs="Arial"/>
          <w:i/>
          <w:sz w:val="20"/>
          <w:szCs w:val="20"/>
        </w:rPr>
        <w:t>Local Government Act 1995</w:t>
      </w:r>
      <w:r w:rsidRPr="00604354">
        <w:rPr>
          <w:rFonts w:ascii="Arial" w:hAnsi="Arial" w:cs="Arial"/>
          <w:sz w:val="20"/>
          <w:szCs w:val="20"/>
        </w:rPr>
        <w:t xml:space="preserve">, the City of Karratha is required to publish its Objects and Reasons for implementing Differential Rates. </w:t>
      </w:r>
    </w:p>
    <w:p w14:paraId="43338241" w14:textId="77777777" w:rsidR="00604354" w:rsidRPr="00604354" w:rsidRDefault="00604354" w:rsidP="00604354">
      <w:pPr>
        <w:spacing w:after="0" w:line="240" w:lineRule="auto"/>
        <w:rPr>
          <w:rFonts w:ascii="Arial" w:hAnsi="Arial" w:cs="Arial"/>
          <w:b/>
          <w:sz w:val="20"/>
          <w:szCs w:val="20"/>
          <w:u w:val="single"/>
        </w:rPr>
      </w:pPr>
    </w:p>
    <w:p w14:paraId="2A18CA56" w14:textId="77777777" w:rsidR="00604354" w:rsidRPr="00604354" w:rsidRDefault="00604354" w:rsidP="00604354">
      <w:pPr>
        <w:spacing w:after="0" w:line="240" w:lineRule="auto"/>
        <w:rPr>
          <w:rFonts w:ascii="Arial" w:hAnsi="Arial" w:cs="Arial"/>
          <w:b/>
          <w:sz w:val="20"/>
          <w:szCs w:val="20"/>
        </w:rPr>
      </w:pPr>
      <w:r w:rsidRPr="00604354">
        <w:rPr>
          <w:rFonts w:ascii="Arial" w:hAnsi="Arial" w:cs="Arial"/>
          <w:b/>
          <w:sz w:val="20"/>
          <w:szCs w:val="20"/>
        </w:rPr>
        <w:t>OVERALL OBJECTIVE</w:t>
      </w:r>
    </w:p>
    <w:p w14:paraId="14170D1A" w14:textId="25EF81A7" w:rsidR="00604354" w:rsidRPr="00604354" w:rsidRDefault="00604354" w:rsidP="00604354">
      <w:pPr>
        <w:spacing w:before="120" w:after="0" w:line="240" w:lineRule="auto"/>
        <w:jc w:val="both"/>
        <w:rPr>
          <w:rFonts w:ascii="Arial" w:hAnsi="Arial" w:cs="Arial"/>
          <w:sz w:val="20"/>
          <w:szCs w:val="20"/>
        </w:rPr>
      </w:pPr>
      <w:r w:rsidRPr="00604354">
        <w:rPr>
          <w:rFonts w:ascii="Arial" w:hAnsi="Arial" w:cs="Arial"/>
          <w:sz w:val="20"/>
          <w:szCs w:val="20"/>
        </w:rPr>
        <w:t xml:space="preserve">The purpose of the levying of rates is to meet Council’s budget requirements in each financial year </w:t>
      </w:r>
      <w:r w:rsidR="00393155">
        <w:rPr>
          <w:rFonts w:ascii="Arial" w:hAnsi="Arial" w:cs="Arial"/>
          <w:sz w:val="20"/>
          <w:szCs w:val="20"/>
        </w:rPr>
        <w:t>to enable</w:t>
      </w:r>
      <w:r w:rsidRPr="00604354">
        <w:rPr>
          <w:rFonts w:ascii="Arial" w:hAnsi="Arial" w:cs="Arial"/>
          <w:sz w:val="20"/>
          <w:szCs w:val="20"/>
        </w:rPr>
        <w:t xml:space="preserve"> deliver</w:t>
      </w:r>
      <w:r w:rsidR="00393155">
        <w:rPr>
          <w:rFonts w:ascii="Arial" w:hAnsi="Arial" w:cs="Arial"/>
          <w:sz w:val="20"/>
          <w:szCs w:val="20"/>
        </w:rPr>
        <w:t>y of</w:t>
      </w:r>
      <w:r w:rsidRPr="00604354">
        <w:rPr>
          <w:rFonts w:ascii="Arial" w:hAnsi="Arial" w:cs="Arial"/>
          <w:sz w:val="20"/>
          <w:szCs w:val="20"/>
        </w:rPr>
        <w:t xml:space="preserve"> services and community infrastructure.</w:t>
      </w:r>
    </w:p>
    <w:p w14:paraId="535E5957" w14:textId="77777777" w:rsidR="00604354" w:rsidRPr="00604354" w:rsidRDefault="00604354" w:rsidP="00604354">
      <w:pPr>
        <w:spacing w:after="0" w:line="240" w:lineRule="auto"/>
        <w:jc w:val="both"/>
        <w:rPr>
          <w:rFonts w:ascii="Arial" w:hAnsi="Arial" w:cs="Arial"/>
          <w:sz w:val="20"/>
          <w:szCs w:val="20"/>
        </w:rPr>
      </w:pPr>
    </w:p>
    <w:p w14:paraId="65962F9A" w14:textId="77777777" w:rsidR="00604354" w:rsidRDefault="00604354" w:rsidP="00604354">
      <w:pPr>
        <w:spacing w:after="0" w:line="240" w:lineRule="auto"/>
        <w:jc w:val="both"/>
        <w:rPr>
          <w:rFonts w:ascii="Arial" w:hAnsi="Arial" w:cs="Arial"/>
          <w:sz w:val="20"/>
          <w:szCs w:val="20"/>
        </w:rPr>
      </w:pPr>
      <w:r w:rsidRPr="00604354">
        <w:rPr>
          <w:rFonts w:ascii="Arial" w:hAnsi="Arial" w:cs="Arial"/>
          <w:sz w:val="20"/>
          <w:szCs w:val="20"/>
        </w:rPr>
        <w:t>Property va</w:t>
      </w:r>
      <w:r w:rsidR="009E5785">
        <w:rPr>
          <w:rFonts w:ascii="Arial" w:hAnsi="Arial" w:cs="Arial"/>
          <w:sz w:val="20"/>
          <w:szCs w:val="20"/>
        </w:rPr>
        <w:t xml:space="preserve">luations provided by the Valuer </w:t>
      </w:r>
      <w:r w:rsidRPr="00604354">
        <w:rPr>
          <w:rFonts w:ascii="Arial" w:hAnsi="Arial" w:cs="Arial"/>
          <w:sz w:val="20"/>
          <w:szCs w:val="20"/>
        </w:rPr>
        <w:t>General are used as the basis for the calculation of rates each year. Section 6.33 of the</w:t>
      </w:r>
      <w:r w:rsidRPr="00604354">
        <w:rPr>
          <w:rFonts w:ascii="Arial" w:hAnsi="Arial" w:cs="Arial"/>
          <w:i/>
          <w:sz w:val="20"/>
          <w:szCs w:val="20"/>
        </w:rPr>
        <w:t xml:space="preserve"> Local Government Act 1995 </w:t>
      </w:r>
      <w:r w:rsidRPr="00604354">
        <w:rPr>
          <w:rFonts w:ascii="Arial" w:hAnsi="Arial" w:cs="Arial"/>
          <w:sz w:val="20"/>
          <w:szCs w:val="20"/>
        </w:rPr>
        <w:t>provides the ability to differentially rate properties based on zoning and/or land use as determined by the City of Karratha. The application of differential rating maintains equity in the rating of properties across the City.</w:t>
      </w:r>
    </w:p>
    <w:p w14:paraId="4DAD0E59" w14:textId="77777777" w:rsidR="00715762" w:rsidRDefault="00715762" w:rsidP="00604354">
      <w:pPr>
        <w:spacing w:after="0" w:line="240" w:lineRule="auto"/>
        <w:jc w:val="both"/>
        <w:rPr>
          <w:rFonts w:ascii="Arial" w:hAnsi="Arial" w:cs="Arial"/>
          <w:sz w:val="20"/>
          <w:szCs w:val="20"/>
        </w:rPr>
      </w:pPr>
    </w:p>
    <w:p w14:paraId="030C394A" w14:textId="3B1DFEA7" w:rsidR="003843E9" w:rsidRDefault="003843E9" w:rsidP="00715762">
      <w:pPr>
        <w:spacing w:after="0" w:line="240" w:lineRule="auto"/>
        <w:jc w:val="both"/>
        <w:rPr>
          <w:rFonts w:ascii="Arial" w:hAnsi="Arial" w:cs="Arial"/>
          <w:sz w:val="20"/>
          <w:szCs w:val="20"/>
        </w:rPr>
      </w:pPr>
      <w:r>
        <w:rPr>
          <w:rFonts w:ascii="Arial" w:hAnsi="Arial" w:cs="Arial"/>
          <w:sz w:val="20"/>
          <w:szCs w:val="20"/>
        </w:rPr>
        <w:t>Council has considered the Key Values contained within</w:t>
      </w:r>
      <w:r w:rsidR="00FC47B2">
        <w:rPr>
          <w:rFonts w:ascii="Arial" w:hAnsi="Arial" w:cs="Arial"/>
          <w:sz w:val="20"/>
          <w:szCs w:val="20"/>
        </w:rPr>
        <w:t xml:space="preserve"> the Rating Policy</w:t>
      </w:r>
      <w:r w:rsidR="00117262">
        <w:rPr>
          <w:rFonts w:ascii="Arial" w:hAnsi="Arial" w:cs="Arial"/>
          <w:sz w:val="20"/>
          <w:szCs w:val="20"/>
        </w:rPr>
        <w:t>:</w:t>
      </w:r>
      <w:r>
        <w:rPr>
          <w:rFonts w:ascii="Arial" w:hAnsi="Arial" w:cs="Arial"/>
          <w:sz w:val="20"/>
          <w:szCs w:val="20"/>
        </w:rPr>
        <w:t xml:space="preserve"> Differential Rat</w:t>
      </w:r>
      <w:r w:rsidR="00FC47B2">
        <w:rPr>
          <w:rFonts w:ascii="Arial" w:hAnsi="Arial" w:cs="Arial"/>
          <w:sz w:val="20"/>
          <w:szCs w:val="20"/>
        </w:rPr>
        <w:t>es</w:t>
      </w:r>
      <w:r>
        <w:rPr>
          <w:rFonts w:ascii="Arial" w:hAnsi="Arial" w:cs="Arial"/>
          <w:sz w:val="20"/>
          <w:szCs w:val="20"/>
        </w:rPr>
        <w:t xml:space="preserve"> released by the Department of Local Government</w:t>
      </w:r>
      <w:r w:rsidR="00EA58B8">
        <w:rPr>
          <w:rFonts w:ascii="Arial" w:hAnsi="Arial" w:cs="Arial"/>
          <w:sz w:val="20"/>
          <w:szCs w:val="20"/>
        </w:rPr>
        <w:t xml:space="preserve">, </w:t>
      </w:r>
      <w:r w:rsidR="00D87E1A">
        <w:rPr>
          <w:rFonts w:ascii="Arial" w:hAnsi="Arial" w:cs="Arial"/>
          <w:sz w:val="20"/>
          <w:szCs w:val="20"/>
        </w:rPr>
        <w:t>Sport,</w:t>
      </w:r>
      <w:r w:rsidR="00EA58B8">
        <w:rPr>
          <w:rFonts w:ascii="Arial" w:hAnsi="Arial" w:cs="Arial"/>
          <w:sz w:val="20"/>
          <w:szCs w:val="20"/>
        </w:rPr>
        <w:t xml:space="preserve"> and Cultural Industries</w:t>
      </w:r>
      <w:r w:rsidR="00D04471">
        <w:rPr>
          <w:rFonts w:ascii="Arial" w:hAnsi="Arial" w:cs="Arial"/>
          <w:sz w:val="20"/>
          <w:szCs w:val="20"/>
        </w:rPr>
        <w:t xml:space="preserve">, </w:t>
      </w:r>
      <w:r>
        <w:rPr>
          <w:rFonts w:ascii="Arial" w:hAnsi="Arial" w:cs="Arial"/>
          <w:sz w:val="20"/>
          <w:szCs w:val="20"/>
        </w:rPr>
        <w:t>being:</w:t>
      </w:r>
    </w:p>
    <w:p w14:paraId="06FE6DE7" w14:textId="77777777" w:rsidR="003843E9" w:rsidRDefault="003843E9" w:rsidP="00715762">
      <w:pPr>
        <w:spacing w:after="0" w:line="240" w:lineRule="auto"/>
        <w:jc w:val="both"/>
        <w:rPr>
          <w:rFonts w:ascii="Arial" w:hAnsi="Arial" w:cs="Arial"/>
          <w:sz w:val="20"/>
          <w:szCs w:val="20"/>
        </w:rPr>
      </w:pPr>
    </w:p>
    <w:p w14:paraId="69CAFC3A" w14:textId="3B217775" w:rsidR="003843E9" w:rsidRDefault="003843E9" w:rsidP="003843E9">
      <w:pPr>
        <w:pStyle w:val="ListParagraph"/>
        <w:numPr>
          <w:ilvl w:val="0"/>
          <w:numId w:val="10"/>
        </w:numPr>
        <w:jc w:val="both"/>
        <w:rPr>
          <w:rFonts w:cs="Arial"/>
          <w:szCs w:val="20"/>
        </w:rPr>
      </w:pPr>
      <w:r w:rsidRPr="003843E9">
        <w:rPr>
          <w:rFonts w:cs="Arial"/>
          <w:szCs w:val="20"/>
        </w:rPr>
        <w:t>Objectivity</w:t>
      </w:r>
      <w:r w:rsidR="00EA58B8">
        <w:rPr>
          <w:rFonts w:cs="Arial"/>
          <w:szCs w:val="20"/>
        </w:rPr>
        <w:t>;</w:t>
      </w:r>
      <w:r w:rsidR="00C11076">
        <w:rPr>
          <w:rFonts w:cs="Arial"/>
          <w:szCs w:val="20"/>
        </w:rPr>
        <w:tab/>
      </w:r>
      <w:r w:rsidR="00C11076">
        <w:rPr>
          <w:rFonts w:cs="Arial"/>
          <w:szCs w:val="20"/>
        </w:rPr>
        <w:tab/>
      </w:r>
      <w:r w:rsidR="00C11076">
        <w:rPr>
          <w:rFonts w:cs="Arial"/>
          <w:szCs w:val="20"/>
        </w:rPr>
        <w:tab/>
      </w:r>
    </w:p>
    <w:p w14:paraId="2B3B2E94" w14:textId="0C9A708B" w:rsidR="003843E9" w:rsidRDefault="003843E9" w:rsidP="003843E9">
      <w:pPr>
        <w:pStyle w:val="ListParagraph"/>
        <w:numPr>
          <w:ilvl w:val="0"/>
          <w:numId w:val="10"/>
        </w:numPr>
        <w:jc w:val="both"/>
        <w:rPr>
          <w:rFonts w:cs="Arial"/>
          <w:szCs w:val="20"/>
        </w:rPr>
      </w:pPr>
      <w:r>
        <w:rPr>
          <w:rFonts w:cs="Arial"/>
          <w:szCs w:val="20"/>
        </w:rPr>
        <w:t xml:space="preserve">Fairness and </w:t>
      </w:r>
      <w:r w:rsidR="00EA58B8">
        <w:rPr>
          <w:rFonts w:cs="Arial"/>
          <w:szCs w:val="20"/>
        </w:rPr>
        <w:t>e</w:t>
      </w:r>
      <w:r>
        <w:rPr>
          <w:rFonts w:cs="Arial"/>
          <w:szCs w:val="20"/>
        </w:rPr>
        <w:t>quity</w:t>
      </w:r>
      <w:r w:rsidR="00EA58B8">
        <w:rPr>
          <w:rFonts w:cs="Arial"/>
          <w:szCs w:val="20"/>
        </w:rPr>
        <w:t>;</w:t>
      </w:r>
    </w:p>
    <w:p w14:paraId="1876B571" w14:textId="2A387D81" w:rsidR="003843E9" w:rsidRDefault="003843E9" w:rsidP="003843E9">
      <w:pPr>
        <w:pStyle w:val="ListParagraph"/>
        <w:numPr>
          <w:ilvl w:val="0"/>
          <w:numId w:val="10"/>
        </w:numPr>
        <w:jc w:val="both"/>
        <w:rPr>
          <w:rFonts w:cs="Arial"/>
          <w:szCs w:val="20"/>
        </w:rPr>
      </w:pPr>
      <w:r>
        <w:rPr>
          <w:rFonts w:cs="Arial"/>
          <w:szCs w:val="20"/>
        </w:rPr>
        <w:t>Consistency</w:t>
      </w:r>
      <w:r w:rsidR="00EA58B8">
        <w:rPr>
          <w:rFonts w:cs="Arial"/>
          <w:szCs w:val="20"/>
        </w:rPr>
        <w:t>; and</w:t>
      </w:r>
    </w:p>
    <w:p w14:paraId="1D1B6314" w14:textId="543385B8" w:rsidR="003843E9" w:rsidRPr="003843E9" w:rsidRDefault="003843E9" w:rsidP="003843E9">
      <w:pPr>
        <w:pStyle w:val="ListParagraph"/>
        <w:numPr>
          <w:ilvl w:val="0"/>
          <w:numId w:val="10"/>
        </w:numPr>
        <w:jc w:val="both"/>
        <w:rPr>
          <w:rFonts w:cs="Arial"/>
          <w:szCs w:val="20"/>
        </w:rPr>
      </w:pPr>
      <w:r>
        <w:rPr>
          <w:rFonts w:cs="Arial"/>
          <w:szCs w:val="20"/>
        </w:rPr>
        <w:t>Transparency and administrative efficiency</w:t>
      </w:r>
      <w:r w:rsidR="00EA58B8">
        <w:rPr>
          <w:rFonts w:cs="Arial"/>
          <w:szCs w:val="20"/>
        </w:rPr>
        <w:t>.</w:t>
      </w:r>
    </w:p>
    <w:p w14:paraId="3EB4C47E" w14:textId="77777777" w:rsidR="003843E9" w:rsidRDefault="003843E9" w:rsidP="00715762">
      <w:pPr>
        <w:spacing w:after="0" w:line="240" w:lineRule="auto"/>
        <w:jc w:val="both"/>
        <w:rPr>
          <w:rFonts w:ascii="Arial" w:hAnsi="Arial" w:cs="Arial"/>
          <w:sz w:val="20"/>
          <w:szCs w:val="20"/>
        </w:rPr>
      </w:pPr>
    </w:p>
    <w:p w14:paraId="37E2E187" w14:textId="178258D9" w:rsidR="00D04471" w:rsidRPr="00D04471" w:rsidRDefault="00D04471" w:rsidP="00EA58B8">
      <w:pPr>
        <w:spacing w:after="0" w:line="240" w:lineRule="auto"/>
        <w:rPr>
          <w:rFonts w:ascii="Arial" w:hAnsi="Arial" w:cs="Arial"/>
          <w:i/>
          <w:sz w:val="20"/>
          <w:szCs w:val="20"/>
        </w:rPr>
      </w:pPr>
      <w:r w:rsidRPr="00D04471">
        <w:rPr>
          <w:rFonts w:ascii="Arial" w:hAnsi="Arial" w:cs="Arial"/>
          <w:i/>
          <w:sz w:val="20"/>
          <w:szCs w:val="20"/>
        </w:rPr>
        <w:t xml:space="preserve">A copy of </w:t>
      </w:r>
      <w:r w:rsidR="0006022E">
        <w:rPr>
          <w:rFonts w:ascii="Arial" w:hAnsi="Arial" w:cs="Arial"/>
          <w:i/>
          <w:sz w:val="20"/>
          <w:szCs w:val="20"/>
        </w:rPr>
        <w:t>the policy can be obtained from</w:t>
      </w:r>
      <w:r w:rsidR="00EA58B8">
        <w:rPr>
          <w:rFonts w:ascii="Arial" w:hAnsi="Arial" w:cs="Arial"/>
          <w:i/>
          <w:sz w:val="20"/>
          <w:szCs w:val="20"/>
        </w:rPr>
        <w:t xml:space="preserve">: </w:t>
      </w:r>
      <w:hyperlink r:id="rId12" w:history="1">
        <w:r w:rsidR="00EA58B8" w:rsidRPr="000853C3">
          <w:rPr>
            <w:rStyle w:val="Hyperlink"/>
            <w:rFonts w:ascii="Arial" w:hAnsi="Arial" w:cs="Arial"/>
            <w:i/>
            <w:sz w:val="20"/>
            <w:szCs w:val="20"/>
          </w:rPr>
          <w:t>www.dlgsc.wa.gov.au/department/publications/publication/rating-policy-differential-rates</w:t>
        </w:r>
      </w:hyperlink>
      <w:r w:rsidR="00EA58B8">
        <w:rPr>
          <w:rFonts w:ascii="Arial" w:hAnsi="Arial" w:cs="Arial"/>
          <w:i/>
          <w:sz w:val="20"/>
          <w:szCs w:val="20"/>
        </w:rPr>
        <w:t>.</w:t>
      </w:r>
    </w:p>
    <w:p w14:paraId="15F2C406" w14:textId="77777777" w:rsidR="00D04471" w:rsidRDefault="00D04471" w:rsidP="00715762">
      <w:pPr>
        <w:spacing w:after="0" w:line="240" w:lineRule="auto"/>
        <w:jc w:val="both"/>
        <w:rPr>
          <w:rFonts w:ascii="Arial" w:hAnsi="Arial" w:cs="Arial"/>
          <w:sz w:val="20"/>
          <w:szCs w:val="20"/>
        </w:rPr>
      </w:pPr>
    </w:p>
    <w:p w14:paraId="1D56D4B3" w14:textId="3F1A2B6B" w:rsidR="00715762" w:rsidRDefault="00715762" w:rsidP="00715762">
      <w:pPr>
        <w:spacing w:after="0" w:line="240" w:lineRule="auto"/>
        <w:jc w:val="both"/>
        <w:rPr>
          <w:rFonts w:ascii="Arial" w:hAnsi="Arial" w:cs="Arial"/>
          <w:sz w:val="20"/>
          <w:szCs w:val="20"/>
        </w:rPr>
      </w:pPr>
      <w:r w:rsidRPr="00715762">
        <w:rPr>
          <w:rFonts w:ascii="Arial" w:hAnsi="Arial" w:cs="Arial"/>
          <w:sz w:val="20"/>
          <w:szCs w:val="20"/>
        </w:rPr>
        <w:t>Council has</w:t>
      </w:r>
      <w:r w:rsidR="006F67BA">
        <w:rPr>
          <w:rFonts w:ascii="Arial" w:hAnsi="Arial" w:cs="Arial"/>
          <w:sz w:val="20"/>
          <w:szCs w:val="20"/>
        </w:rPr>
        <w:t xml:space="preserve"> determined its </w:t>
      </w:r>
      <w:r w:rsidR="00325892">
        <w:rPr>
          <w:rFonts w:ascii="Arial" w:hAnsi="Arial" w:cs="Arial"/>
          <w:sz w:val="20"/>
          <w:szCs w:val="20"/>
        </w:rPr>
        <w:t xml:space="preserve">required </w:t>
      </w:r>
      <w:r w:rsidR="006F67BA">
        <w:rPr>
          <w:rFonts w:ascii="Arial" w:hAnsi="Arial" w:cs="Arial"/>
          <w:sz w:val="20"/>
          <w:szCs w:val="20"/>
        </w:rPr>
        <w:t xml:space="preserve">rates </w:t>
      </w:r>
      <w:r w:rsidR="00325892">
        <w:rPr>
          <w:rFonts w:ascii="Arial" w:hAnsi="Arial" w:cs="Arial"/>
          <w:sz w:val="20"/>
          <w:szCs w:val="20"/>
        </w:rPr>
        <w:t xml:space="preserve">yield </w:t>
      </w:r>
      <w:r w:rsidR="006F67BA">
        <w:rPr>
          <w:rFonts w:ascii="Arial" w:hAnsi="Arial" w:cs="Arial"/>
          <w:sz w:val="20"/>
          <w:szCs w:val="20"/>
        </w:rPr>
        <w:t>after reviewing</w:t>
      </w:r>
      <w:r w:rsidRPr="00715762">
        <w:rPr>
          <w:rFonts w:ascii="Arial" w:hAnsi="Arial" w:cs="Arial"/>
          <w:sz w:val="20"/>
          <w:szCs w:val="20"/>
        </w:rPr>
        <w:t xml:space="preserve"> </w:t>
      </w:r>
      <w:r w:rsidR="006F67BA">
        <w:rPr>
          <w:rFonts w:ascii="Arial" w:hAnsi="Arial" w:cs="Arial"/>
          <w:sz w:val="20"/>
          <w:szCs w:val="20"/>
        </w:rPr>
        <w:t>all revenue</w:t>
      </w:r>
      <w:r w:rsidR="00325892">
        <w:rPr>
          <w:rFonts w:ascii="Arial" w:hAnsi="Arial" w:cs="Arial"/>
          <w:sz w:val="20"/>
          <w:szCs w:val="20"/>
        </w:rPr>
        <w:t xml:space="preserve"> sources, </w:t>
      </w:r>
      <w:r w:rsidRPr="00715762">
        <w:rPr>
          <w:rFonts w:ascii="Arial" w:hAnsi="Arial" w:cs="Arial"/>
          <w:sz w:val="20"/>
          <w:szCs w:val="20"/>
        </w:rPr>
        <w:t>expenditure</w:t>
      </w:r>
      <w:r w:rsidR="007E5716">
        <w:rPr>
          <w:rFonts w:ascii="Arial" w:hAnsi="Arial" w:cs="Arial"/>
          <w:sz w:val="20"/>
          <w:szCs w:val="20"/>
        </w:rPr>
        <w:t>,</w:t>
      </w:r>
      <w:r w:rsidRPr="00715762">
        <w:rPr>
          <w:rFonts w:ascii="Arial" w:hAnsi="Arial" w:cs="Arial"/>
          <w:sz w:val="20"/>
          <w:szCs w:val="20"/>
        </w:rPr>
        <w:t xml:space="preserve"> and efficiency measures as par</w:t>
      </w:r>
      <w:r w:rsidR="006F67BA">
        <w:rPr>
          <w:rFonts w:ascii="Arial" w:hAnsi="Arial" w:cs="Arial"/>
          <w:sz w:val="20"/>
          <w:szCs w:val="20"/>
        </w:rPr>
        <w:t xml:space="preserve">t of </w:t>
      </w:r>
      <w:r w:rsidR="00C01E0B">
        <w:rPr>
          <w:rFonts w:ascii="Arial" w:hAnsi="Arial" w:cs="Arial"/>
          <w:sz w:val="20"/>
          <w:szCs w:val="20"/>
        </w:rPr>
        <w:t>202</w:t>
      </w:r>
      <w:r w:rsidR="00393155">
        <w:rPr>
          <w:rFonts w:ascii="Arial" w:hAnsi="Arial" w:cs="Arial"/>
          <w:sz w:val="20"/>
          <w:szCs w:val="20"/>
        </w:rPr>
        <w:t>5</w:t>
      </w:r>
      <w:r w:rsidR="00C01E0B">
        <w:rPr>
          <w:rFonts w:ascii="Arial" w:hAnsi="Arial" w:cs="Arial"/>
          <w:sz w:val="20"/>
          <w:szCs w:val="20"/>
        </w:rPr>
        <w:t>/2</w:t>
      </w:r>
      <w:r w:rsidR="00393155">
        <w:rPr>
          <w:rFonts w:ascii="Arial" w:hAnsi="Arial" w:cs="Arial"/>
          <w:sz w:val="20"/>
          <w:szCs w:val="20"/>
        </w:rPr>
        <w:t>6</w:t>
      </w:r>
      <w:r w:rsidR="006F67BA">
        <w:rPr>
          <w:rFonts w:ascii="Arial" w:hAnsi="Arial" w:cs="Arial"/>
          <w:sz w:val="20"/>
          <w:szCs w:val="20"/>
        </w:rPr>
        <w:t xml:space="preserve"> budget deliberations.</w:t>
      </w:r>
    </w:p>
    <w:p w14:paraId="272AAB8C" w14:textId="77777777" w:rsidR="00DE6B13" w:rsidRDefault="00DE6B13" w:rsidP="00715762">
      <w:pPr>
        <w:spacing w:after="0" w:line="240" w:lineRule="auto"/>
        <w:jc w:val="both"/>
        <w:rPr>
          <w:rFonts w:ascii="Arial" w:hAnsi="Arial" w:cs="Arial"/>
          <w:sz w:val="20"/>
          <w:szCs w:val="20"/>
        </w:rPr>
      </w:pPr>
    </w:p>
    <w:p w14:paraId="2B03EF81" w14:textId="7F65586A" w:rsidR="00DE6B13" w:rsidRPr="008A0041" w:rsidRDefault="00DE6B13" w:rsidP="00DE6B13">
      <w:pPr>
        <w:spacing w:after="0" w:line="240" w:lineRule="auto"/>
        <w:jc w:val="both"/>
        <w:rPr>
          <w:rFonts w:ascii="Arial" w:hAnsi="Arial" w:cs="Arial"/>
          <w:sz w:val="20"/>
          <w:szCs w:val="20"/>
        </w:rPr>
      </w:pPr>
      <w:r w:rsidRPr="008A0041">
        <w:rPr>
          <w:rFonts w:ascii="Arial" w:hAnsi="Arial" w:cs="Arial"/>
          <w:sz w:val="20"/>
          <w:szCs w:val="20"/>
        </w:rPr>
        <w:t xml:space="preserve">The Rate in the </w:t>
      </w:r>
      <w:r w:rsidR="00393155">
        <w:rPr>
          <w:rFonts w:ascii="Arial" w:hAnsi="Arial" w:cs="Arial"/>
          <w:sz w:val="20"/>
          <w:szCs w:val="20"/>
        </w:rPr>
        <w:t>d</w:t>
      </w:r>
      <w:r w:rsidR="00443F00">
        <w:rPr>
          <w:rFonts w:ascii="Arial" w:hAnsi="Arial" w:cs="Arial"/>
          <w:sz w:val="20"/>
          <w:szCs w:val="20"/>
        </w:rPr>
        <w:t>ollar applied to all rating</w:t>
      </w:r>
      <w:r w:rsidRPr="008A0041">
        <w:rPr>
          <w:rFonts w:ascii="Arial" w:hAnsi="Arial" w:cs="Arial"/>
          <w:sz w:val="20"/>
          <w:szCs w:val="20"/>
        </w:rPr>
        <w:t xml:space="preserve"> </w:t>
      </w:r>
      <w:r w:rsidR="00443F00">
        <w:rPr>
          <w:rFonts w:ascii="Arial" w:hAnsi="Arial" w:cs="Arial"/>
          <w:sz w:val="20"/>
          <w:szCs w:val="20"/>
        </w:rPr>
        <w:t xml:space="preserve">categories </w:t>
      </w:r>
      <w:r w:rsidR="00D67455">
        <w:rPr>
          <w:rFonts w:ascii="Arial" w:hAnsi="Arial" w:cs="Arial"/>
          <w:sz w:val="20"/>
          <w:szCs w:val="20"/>
        </w:rPr>
        <w:t>have been adjusted to r</w:t>
      </w:r>
      <w:r w:rsidR="00F23C4C" w:rsidRPr="008A0041">
        <w:rPr>
          <w:rFonts w:ascii="Arial" w:hAnsi="Arial" w:cs="Arial"/>
          <w:sz w:val="20"/>
          <w:szCs w:val="20"/>
        </w:rPr>
        <w:t xml:space="preserve">eflect </w:t>
      </w:r>
      <w:r w:rsidR="00D67455">
        <w:rPr>
          <w:rFonts w:ascii="Arial" w:hAnsi="Arial" w:cs="Arial"/>
          <w:sz w:val="20"/>
          <w:szCs w:val="20"/>
        </w:rPr>
        <w:t xml:space="preserve">the valuation </w:t>
      </w:r>
      <w:r w:rsidR="000D274E" w:rsidRPr="008A0041">
        <w:rPr>
          <w:rFonts w:ascii="Arial" w:hAnsi="Arial" w:cs="Arial"/>
          <w:sz w:val="20"/>
          <w:szCs w:val="20"/>
        </w:rPr>
        <w:t>increase</w:t>
      </w:r>
      <w:r w:rsidR="00D67455">
        <w:rPr>
          <w:rFonts w:ascii="Arial" w:hAnsi="Arial" w:cs="Arial"/>
          <w:sz w:val="20"/>
          <w:szCs w:val="20"/>
        </w:rPr>
        <w:t>s</w:t>
      </w:r>
      <w:r w:rsidR="00047190" w:rsidRPr="008A0041">
        <w:rPr>
          <w:rFonts w:ascii="Arial" w:hAnsi="Arial" w:cs="Arial"/>
          <w:sz w:val="20"/>
          <w:szCs w:val="20"/>
        </w:rPr>
        <w:t xml:space="preserve"> </w:t>
      </w:r>
      <w:r w:rsidR="00F23C4C" w:rsidRPr="008A0041">
        <w:rPr>
          <w:rFonts w:ascii="Arial" w:hAnsi="Arial" w:cs="Arial"/>
          <w:sz w:val="20"/>
          <w:szCs w:val="20"/>
        </w:rPr>
        <w:t>to facilitate</w:t>
      </w:r>
      <w:r w:rsidRPr="008A0041">
        <w:rPr>
          <w:rFonts w:ascii="Arial" w:hAnsi="Arial" w:cs="Arial"/>
          <w:sz w:val="20"/>
          <w:szCs w:val="20"/>
        </w:rPr>
        <w:t xml:space="preserve"> Council’s objective of raising a total of </w:t>
      </w:r>
      <w:r w:rsidRPr="008F2514">
        <w:rPr>
          <w:rFonts w:ascii="Arial" w:hAnsi="Arial" w:cs="Arial"/>
          <w:sz w:val="20"/>
          <w:szCs w:val="20"/>
        </w:rPr>
        <w:t>$</w:t>
      </w:r>
      <w:r w:rsidR="008F2514">
        <w:rPr>
          <w:rFonts w:ascii="Arial" w:hAnsi="Arial" w:cs="Arial"/>
          <w:sz w:val="20"/>
          <w:szCs w:val="20"/>
        </w:rPr>
        <w:t>6</w:t>
      </w:r>
      <w:r w:rsidR="00F92F36">
        <w:rPr>
          <w:rFonts w:ascii="Arial" w:hAnsi="Arial" w:cs="Arial"/>
          <w:sz w:val="20"/>
          <w:szCs w:val="20"/>
        </w:rPr>
        <w:t>6.3</w:t>
      </w:r>
      <w:r w:rsidRPr="008A0041">
        <w:rPr>
          <w:rFonts w:ascii="Arial" w:hAnsi="Arial" w:cs="Arial"/>
          <w:sz w:val="20"/>
          <w:szCs w:val="20"/>
        </w:rPr>
        <w:t xml:space="preserve"> million in rates. This will ensure an equitable distribution of the required rates yield from one year to the next consistent with Council’s approach in previous years.</w:t>
      </w:r>
    </w:p>
    <w:p w14:paraId="5107F2F1" w14:textId="77777777" w:rsidR="00DE6B13" w:rsidRPr="008A0041" w:rsidRDefault="00DE6B13" w:rsidP="00DE6B13">
      <w:pPr>
        <w:spacing w:after="0" w:line="240" w:lineRule="auto"/>
        <w:jc w:val="both"/>
        <w:rPr>
          <w:rFonts w:ascii="Arial" w:hAnsi="Arial" w:cs="Arial"/>
          <w:sz w:val="20"/>
          <w:szCs w:val="20"/>
        </w:rPr>
      </w:pPr>
    </w:p>
    <w:p w14:paraId="38FFE18A" w14:textId="6766ABE6" w:rsidR="00575B51" w:rsidRPr="007E5716" w:rsidRDefault="00DE6B13" w:rsidP="00393DD5">
      <w:pPr>
        <w:spacing w:after="0" w:line="240" w:lineRule="auto"/>
        <w:jc w:val="both"/>
        <w:rPr>
          <w:rFonts w:ascii="Arial" w:hAnsi="Arial" w:cs="Arial"/>
          <w:sz w:val="20"/>
          <w:szCs w:val="20"/>
        </w:rPr>
      </w:pPr>
      <w:r w:rsidRPr="00F82FD7">
        <w:rPr>
          <w:rFonts w:ascii="Arial" w:hAnsi="Arial" w:cs="Arial"/>
          <w:sz w:val="20"/>
          <w:szCs w:val="20"/>
        </w:rPr>
        <w:t xml:space="preserve">The rate yield of </w:t>
      </w:r>
      <w:r w:rsidRPr="005D25BE">
        <w:rPr>
          <w:rFonts w:ascii="Arial" w:hAnsi="Arial" w:cs="Arial"/>
          <w:sz w:val="20"/>
          <w:szCs w:val="20"/>
        </w:rPr>
        <w:t>$</w:t>
      </w:r>
      <w:r w:rsidR="003E5CC9" w:rsidRPr="005D25BE">
        <w:rPr>
          <w:rFonts w:ascii="Arial" w:hAnsi="Arial" w:cs="Arial"/>
          <w:sz w:val="20"/>
          <w:szCs w:val="20"/>
        </w:rPr>
        <w:t>6</w:t>
      </w:r>
      <w:r w:rsidR="00EB0473">
        <w:rPr>
          <w:rFonts w:ascii="Arial" w:hAnsi="Arial" w:cs="Arial"/>
          <w:sz w:val="20"/>
          <w:szCs w:val="20"/>
        </w:rPr>
        <w:t>6.3</w:t>
      </w:r>
      <w:r w:rsidRPr="005D25BE">
        <w:rPr>
          <w:rFonts w:ascii="Arial" w:hAnsi="Arial" w:cs="Arial"/>
          <w:sz w:val="20"/>
          <w:szCs w:val="20"/>
        </w:rPr>
        <w:t xml:space="preserve"> million</w:t>
      </w:r>
      <w:r w:rsidR="003266D3">
        <w:rPr>
          <w:rFonts w:ascii="Arial" w:hAnsi="Arial" w:cs="Arial"/>
          <w:sz w:val="20"/>
          <w:szCs w:val="20"/>
        </w:rPr>
        <w:t xml:space="preserve"> for 2025/26</w:t>
      </w:r>
      <w:r w:rsidR="00CE3407">
        <w:rPr>
          <w:rFonts w:ascii="Arial" w:hAnsi="Arial" w:cs="Arial"/>
          <w:sz w:val="20"/>
          <w:szCs w:val="20"/>
        </w:rPr>
        <w:t xml:space="preserve">, </w:t>
      </w:r>
      <w:r w:rsidR="003E5CC9">
        <w:rPr>
          <w:rFonts w:ascii="Arial" w:hAnsi="Arial" w:cs="Arial"/>
          <w:sz w:val="20"/>
          <w:szCs w:val="20"/>
        </w:rPr>
        <w:t>i</w:t>
      </w:r>
      <w:r w:rsidRPr="00F82FD7">
        <w:rPr>
          <w:rFonts w:ascii="Arial" w:hAnsi="Arial" w:cs="Arial"/>
          <w:sz w:val="20"/>
          <w:szCs w:val="20"/>
        </w:rPr>
        <w:t xml:space="preserve">s </w:t>
      </w:r>
      <w:r w:rsidR="003E5CC9">
        <w:rPr>
          <w:rFonts w:ascii="Arial" w:hAnsi="Arial" w:cs="Arial"/>
          <w:sz w:val="20"/>
          <w:szCs w:val="20"/>
        </w:rPr>
        <w:t>above</w:t>
      </w:r>
      <w:r w:rsidR="00F35CC2" w:rsidRPr="00F82FD7">
        <w:rPr>
          <w:rFonts w:ascii="Arial" w:hAnsi="Arial" w:cs="Arial"/>
          <w:sz w:val="20"/>
          <w:szCs w:val="20"/>
        </w:rPr>
        <w:t xml:space="preserve"> </w:t>
      </w:r>
      <w:r w:rsidRPr="00F82FD7">
        <w:rPr>
          <w:rFonts w:ascii="Arial" w:hAnsi="Arial" w:cs="Arial"/>
          <w:sz w:val="20"/>
          <w:szCs w:val="20"/>
        </w:rPr>
        <w:t xml:space="preserve">the </w:t>
      </w:r>
      <w:r w:rsidR="00A83444">
        <w:rPr>
          <w:rFonts w:ascii="Arial" w:hAnsi="Arial" w:cs="Arial"/>
          <w:sz w:val="20"/>
          <w:szCs w:val="20"/>
        </w:rPr>
        <w:t xml:space="preserve">estimated </w:t>
      </w:r>
      <w:r w:rsidRPr="00F82FD7">
        <w:rPr>
          <w:rFonts w:ascii="Arial" w:hAnsi="Arial" w:cs="Arial"/>
          <w:sz w:val="20"/>
          <w:szCs w:val="20"/>
        </w:rPr>
        <w:t xml:space="preserve">revenue </w:t>
      </w:r>
      <w:r w:rsidR="003266D3">
        <w:rPr>
          <w:rFonts w:ascii="Arial" w:hAnsi="Arial" w:cs="Arial"/>
          <w:sz w:val="20"/>
          <w:szCs w:val="20"/>
        </w:rPr>
        <w:t>last presented in</w:t>
      </w:r>
      <w:r w:rsidRPr="00F82FD7">
        <w:rPr>
          <w:rFonts w:ascii="Arial" w:hAnsi="Arial" w:cs="Arial"/>
          <w:sz w:val="20"/>
          <w:szCs w:val="20"/>
        </w:rPr>
        <w:t xml:space="preserve"> Council’s Long Term Financial Plan (LTFP) </w:t>
      </w:r>
      <w:r w:rsidRPr="007E5716">
        <w:rPr>
          <w:rFonts w:ascii="Arial" w:hAnsi="Arial" w:cs="Arial"/>
          <w:sz w:val="20"/>
          <w:szCs w:val="20"/>
        </w:rPr>
        <w:t>of $</w:t>
      </w:r>
      <w:r w:rsidR="007E5716" w:rsidRPr="007E5716">
        <w:rPr>
          <w:rFonts w:ascii="Arial" w:hAnsi="Arial" w:cs="Arial"/>
          <w:sz w:val="20"/>
          <w:szCs w:val="20"/>
        </w:rPr>
        <w:t>5</w:t>
      </w:r>
      <w:r w:rsidR="00CE3407">
        <w:rPr>
          <w:rFonts w:ascii="Arial" w:hAnsi="Arial" w:cs="Arial"/>
          <w:sz w:val="20"/>
          <w:szCs w:val="20"/>
        </w:rPr>
        <w:t>9</w:t>
      </w:r>
      <w:r w:rsidR="007E5716" w:rsidRPr="007E5716">
        <w:rPr>
          <w:rFonts w:ascii="Arial" w:hAnsi="Arial" w:cs="Arial"/>
          <w:sz w:val="20"/>
          <w:szCs w:val="20"/>
        </w:rPr>
        <w:t>.</w:t>
      </w:r>
      <w:r w:rsidR="003E5CC9">
        <w:rPr>
          <w:rFonts w:ascii="Arial" w:hAnsi="Arial" w:cs="Arial"/>
          <w:sz w:val="20"/>
          <w:szCs w:val="20"/>
        </w:rPr>
        <w:t>0</w:t>
      </w:r>
      <w:r w:rsidR="0006022E" w:rsidRPr="007E5716">
        <w:rPr>
          <w:rFonts w:ascii="Arial" w:hAnsi="Arial" w:cs="Arial"/>
          <w:sz w:val="20"/>
          <w:szCs w:val="20"/>
        </w:rPr>
        <w:t xml:space="preserve"> million </w:t>
      </w:r>
      <w:r w:rsidR="003E5CC9">
        <w:rPr>
          <w:rFonts w:ascii="Arial" w:hAnsi="Arial" w:cs="Arial"/>
          <w:sz w:val="20"/>
          <w:szCs w:val="20"/>
        </w:rPr>
        <w:t xml:space="preserve">due to </w:t>
      </w:r>
      <w:r w:rsidR="00572950">
        <w:rPr>
          <w:rFonts w:ascii="Arial" w:hAnsi="Arial" w:cs="Arial"/>
          <w:sz w:val="20"/>
          <w:szCs w:val="20"/>
        </w:rPr>
        <w:t xml:space="preserve">the </w:t>
      </w:r>
      <w:r w:rsidR="00AC5364">
        <w:rPr>
          <w:rFonts w:ascii="Arial" w:hAnsi="Arial" w:cs="Arial"/>
          <w:sz w:val="20"/>
          <w:szCs w:val="20"/>
        </w:rPr>
        <w:t xml:space="preserve">State Government </w:t>
      </w:r>
      <w:r w:rsidR="00572950">
        <w:rPr>
          <w:rFonts w:ascii="Arial" w:hAnsi="Arial" w:cs="Arial"/>
          <w:sz w:val="20"/>
          <w:szCs w:val="20"/>
        </w:rPr>
        <w:t xml:space="preserve">change of </w:t>
      </w:r>
      <w:r w:rsidR="002C2641">
        <w:rPr>
          <w:rFonts w:ascii="Arial" w:hAnsi="Arial" w:cs="Arial"/>
          <w:sz w:val="20"/>
          <w:szCs w:val="20"/>
        </w:rPr>
        <w:t xml:space="preserve">lease consideration in 2025/26 for </w:t>
      </w:r>
      <w:r w:rsidR="00931D60">
        <w:rPr>
          <w:rFonts w:ascii="Arial" w:hAnsi="Arial" w:cs="Arial"/>
          <w:sz w:val="20"/>
          <w:szCs w:val="20"/>
        </w:rPr>
        <w:t>a significant landholding</w:t>
      </w:r>
      <w:r w:rsidR="003B45C4" w:rsidRPr="007E5716">
        <w:rPr>
          <w:rFonts w:ascii="Arial" w:hAnsi="Arial" w:cs="Arial"/>
          <w:sz w:val="20"/>
          <w:szCs w:val="20"/>
        </w:rPr>
        <w:t>.</w:t>
      </w:r>
      <w:r w:rsidR="003E5CC9">
        <w:rPr>
          <w:rFonts w:ascii="Arial" w:hAnsi="Arial" w:cs="Arial"/>
          <w:sz w:val="20"/>
          <w:szCs w:val="20"/>
        </w:rPr>
        <w:t xml:space="preserve"> Th</w:t>
      </w:r>
      <w:r w:rsidR="00DC22DD">
        <w:rPr>
          <w:rFonts w:ascii="Arial" w:hAnsi="Arial" w:cs="Arial"/>
          <w:sz w:val="20"/>
          <w:szCs w:val="20"/>
        </w:rPr>
        <w:t>is</w:t>
      </w:r>
      <w:r w:rsidR="003E5CC9">
        <w:rPr>
          <w:rFonts w:ascii="Arial" w:hAnsi="Arial" w:cs="Arial"/>
          <w:sz w:val="20"/>
          <w:szCs w:val="20"/>
        </w:rPr>
        <w:t xml:space="preserve"> </w:t>
      </w:r>
      <w:r w:rsidR="00376EAD">
        <w:rPr>
          <w:rFonts w:ascii="Arial" w:hAnsi="Arial" w:cs="Arial"/>
          <w:sz w:val="20"/>
          <w:szCs w:val="20"/>
        </w:rPr>
        <w:t>increase</w:t>
      </w:r>
      <w:r w:rsidR="003E5CC9">
        <w:rPr>
          <w:rFonts w:ascii="Arial" w:hAnsi="Arial" w:cs="Arial"/>
          <w:sz w:val="20"/>
          <w:szCs w:val="20"/>
        </w:rPr>
        <w:t xml:space="preserve"> will </w:t>
      </w:r>
      <w:r w:rsidR="006D414F">
        <w:rPr>
          <w:rFonts w:ascii="Arial" w:hAnsi="Arial" w:cs="Arial"/>
          <w:sz w:val="20"/>
          <w:szCs w:val="20"/>
        </w:rPr>
        <w:t>be quarantined in the Strategic Reserve</w:t>
      </w:r>
      <w:r w:rsidR="00376EAD">
        <w:rPr>
          <w:rFonts w:ascii="Arial" w:hAnsi="Arial" w:cs="Arial"/>
          <w:sz w:val="20"/>
          <w:szCs w:val="20"/>
        </w:rPr>
        <w:t xml:space="preserve"> to cover a potential objection for this change.</w:t>
      </w:r>
    </w:p>
    <w:p w14:paraId="4B7C4ABE" w14:textId="77777777" w:rsidR="00393DD5" w:rsidRPr="007E5716" w:rsidRDefault="00393DD5" w:rsidP="00393DD5">
      <w:pPr>
        <w:spacing w:after="0" w:line="240" w:lineRule="auto"/>
        <w:jc w:val="both"/>
        <w:rPr>
          <w:rFonts w:ascii="Arial" w:hAnsi="Arial" w:cs="Arial"/>
          <w:sz w:val="20"/>
          <w:szCs w:val="20"/>
        </w:rPr>
      </w:pPr>
    </w:p>
    <w:p w14:paraId="7A4C2C2B" w14:textId="27DEDEC8" w:rsidR="0055054A" w:rsidRPr="007E5716" w:rsidRDefault="00446573" w:rsidP="00FC3519">
      <w:pPr>
        <w:jc w:val="both"/>
        <w:rPr>
          <w:rFonts w:ascii="Arial" w:eastAsia="Times New Roman" w:hAnsi="Arial" w:cs="Arial"/>
          <w:bCs/>
          <w:sz w:val="20"/>
          <w:szCs w:val="20"/>
        </w:rPr>
      </w:pPr>
      <w:r w:rsidRPr="007E5716">
        <w:rPr>
          <w:rFonts w:ascii="Arial" w:hAnsi="Arial" w:cs="Arial"/>
          <w:sz w:val="20"/>
          <w:szCs w:val="20"/>
        </w:rPr>
        <w:t>Council has reviewed its expenditure and considered efficiency measures as part of its budget deliberations</w:t>
      </w:r>
      <w:r w:rsidR="00D87E1A" w:rsidRPr="007E5716">
        <w:rPr>
          <w:rFonts w:ascii="Arial" w:hAnsi="Arial" w:cs="Arial"/>
          <w:sz w:val="20"/>
          <w:szCs w:val="20"/>
        </w:rPr>
        <w:t xml:space="preserve">. </w:t>
      </w:r>
      <w:r w:rsidR="0055054A" w:rsidRPr="007E5716">
        <w:rPr>
          <w:rFonts w:ascii="Arial" w:eastAsia="Times New Roman" w:hAnsi="Arial" w:cs="Arial"/>
          <w:bCs/>
          <w:sz w:val="20"/>
          <w:szCs w:val="20"/>
        </w:rPr>
        <w:t>In particular, the following actions have been undertaken:</w:t>
      </w:r>
    </w:p>
    <w:p w14:paraId="574762F5" w14:textId="77777777" w:rsidR="00FC3519" w:rsidRPr="007E5716" w:rsidRDefault="00FC3519" w:rsidP="00965B12">
      <w:pPr>
        <w:pStyle w:val="Header"/>
        <w:rPr>
          <w:rFonts w:ascii="Arial" w:hAnsi="Arial" w:cs="Arial"/>
          <w:sz w:val="20"/>
          <w:szCs w:val="20"/>
          <w:u w:val="single"/>
        </w:rPr>
      </w:pPr>
      <w:r w:rsidRPr="007E5716">
        <w:rPr>
          <w:rFonts w:ascii="Arial" w:hAnsi="Arial" w:cs="Arial"/>
          <w:sz w:val="20"/>
          <w:szCs w:val="20"/>
          <w:u w:val="single"/>
        </w:rPr>
        <w:t>Efficiency Measures:</w:t>
      </w:r>
    </w:p>
    <w:p w14:paraId="057CB9F4" w14:textId="18265166" w:rsidR="007E5716" w:rsidRPr="007E5716" w:rsidRDefault="007E5716" w:rsidP="007E5716">
      <w:pPr>
        <w:pStyle w:val="NoSpacing"/>
        <w:numPr>
          <w:ilvl w:val="0"/>
          <w:numId w:val="18"/>
        </w:numPr>
        <w:ind w:left="447" w:hanging="425"/>
        <w:jc w:val="both"/>
        <w:rPr>
          <w:rFonts w:ascii="Arial" w:hAnsi="Arial" w:cs="Arial"/>
          <w:sz w:val="20"/>
          <w:szCs w:val="20"/>
        </w:rPr>
      </w:pPr>
      <w:r w:rsidRPr="007E5716">
        <w:rPr>
          <w:rFonts w:ascii="Arial" w:hAnsi="Arial" w:cs="Arial"/>
          <w:sz w:val="20"/>
          <w:szCs w:val="20"/>
        </w:rPr>
        <w:t xml:space="preserve">continued review of the need for and remuneration of each </w:t>
      </w:r>
      <w:r w:rsidR="00E15163" w:rsidRPr="007E5716">
        <w:rPr>
          <w:rFonts w:ascii="Arial" w:hAnsi="Arial" w:cs="Arial"/>
          <w:sz w:val="20"/>
          <w:szCs w:val="20"/>
        </w:rPr>
        <w:t>position.</w:t>
      </w:r>
    </w:p>
    <w:p w14:paraId="1CF67DFD" w14:textId="4CD53E36" w:rsidR="007E5716" w:rsidRPr="007E5716" w:rsidRDefault="007E5716" w:rsidP="007E5716">
      <w:pPr>
        <w:pStyle w:val="NoSpacing"/>
        <w:numPr>
          <w:ilvl w:val="0"/>
          <w:numId w:val="18"/>
        </w:numPr>
        <w:ind w:left="447" w:hanging="425"/>
        <w:jc w:val="both"/>
        <w:rPr>
          <w:rFonts w:ascii="Arial" w:hAnsi="Arial" w:cs="Arial"/>
          <w:sz w:val="20"/>
          <w:szCs w:val="20"/>
        </w:rPr>
      </w:pPr>
      <w:r w:rsidRPr="007E5716">
        <w:rPr>
          <w:rFonts w:ascii="Arial" w:hAnsi="Arial" w:cs="Arial"/>
          <w:sz w:val="20"/>
          <w:szCs w:val="20"/>
        </w:rPr>
        <w:t xml:space="preserve">disposal of under-utilised light fleet and </w:t>
      </w:r>
      <w:r w:rsidR="00E15163" w:rsidRPr="007E5716">
        <w:rPr>
          <w:rFonts w:ascii="Arial" w:hAnsi="Arial" w:cs="Arial"/>
          <w:sz w:val="20"/>
          <w:szCs w:val="20"/>
        </w:rPr>
        <w:t>plant.</w:t>
      </w:r>
    </w:p>
    <w:p w14:paraId="374C1D2A" w14:textId="149933D0" w:rsidR="007E5716" w:rsidRPr="007E5716" w:rsidRDefault="007E5716" w:rsidP="007E5716">
      <w:pPr>
        <w:pStyle w:val="NoSpacing"/>
        <w:numPr>
          <w:ilvl w:val="0"/>
          <w:numId w:val="18"/>
        </w:numPr>
        <w:ind w:left="447" w:hanging="425"/>
        <w:jc w:val="both"/>
        <w:rPr>
          <w:rFonts w:ascii="Arial" w:hAnsi="Arial" w:cs="Arial"/>
          <w:sz w:val="20"/>
          <w:szCs w:val="20"/>
        </w:rPr>
      </w:pPr>
      <w:r w:rsidRPr="007E5716">
        <w:rPr>
          <w:rFonts w:ascii="Arial" w:hAnsi="Arial" w:cs="Arial"/>
          <w:sz w:val="20"/>
          <w:szCs w:val="20"/>
        </w:rPr>
        <w:t xml:space="preserve">continued use of local suppliers whenever possible and </w:t>
      </w:r>
      <w:r w:rsidR="00E15163" w:rsidRPr="007E5716">
        <w:rPr>
          <w:rFonts w:ascii="Arial" w:hAnsi="Arial" w:cs="Arial"/>
          <w:sz w:val="20"/>
          <w:szCs w:val="20"/>
        </w:rPr>
        <w:t>appropriate.</w:t>
      </w:r>
    </w:p>
    <w:p w14:paraId="07B7665F" w14:textId="529ACD33" w:rsidR="007E5716" w:rsidRPr="007E5716" w:rsidRDefault="007E5716" w:rsidP="007E5716">
      <w:pPr>
        <w:pStyle w:val="NoSpacing"/>
        <w:numPr>
          <w:ilvl w:val="0"/>
          <w:numId w:val="18"/>
        </w:numPr>
        <w:ind w:left="447" w:hanging="425"/>
        <w:jc w:val="both"/>
        <w:rPr>
          <w:rFonts w:ascii="Arial" w:hAnsi="Arial" w:cs="Arial"/>
          <w:sz w:val="20"/>
          <w:szCs w:val="20"/>
        </w:rPr>
      </w:pPr>
      <w:r w:rsidRPr="007E5716">
        <w:rPr>
          <w:rFonts w:ascii="Arial" w:hAnsi="Arial" w:cs="Arial"/>
          <w:sz w:val="20"/>
          <w:szCs w:val="20"/>
        </w:rPr>
        <w:t xml:space="preserve">implementation of GRV rating for capital improvements under the State’s Rating Policy – Valuation of Land – </w:t>
      </w:r>
      <w:r w:rsidR="00E15163" w:rsidRPr="007E5716">
        <w:rPr>
          <w:rFonts w:ascii="Arial" w:hAnsi="Arial" w:cs="Arial"/>
          <w:sz w:val="20"/>
          <w:szCs w:val="20"/>
        </w:rPr>
        <w:t>Mining.</w:t>
      </w:r>
    </w:p>
    <w:p w14:paraId="21BB5908" w14:textId="33CFB62D" w:rsidR="007E5716" w:rsidRPr="007E5716" w:rsidRDefault="003E5CC9" w:rsidP="007E5716">
      <w:pPr>
        <w:pStyle w:val="NoSpacing"/>
        <w:numPr>
          <w:ilvl w:val="0"/>
          <w:numId w:val="18"/>
        </w:numPr>
        <w:ind w:left="447" w:hanging="425"/>
        <w:jc w:val="both"/>
        <w:rPr>
          <w:rFonts w:ascii="Arial" w:hAnsi="Arial" w:cs="Arial"/>
          <w:sz w:val="20"/>
          <w:szCs w:val="20"/>
        </w:rPr>
      </w:pPr>
      <w:r>
        <w:rPr>
          <w:rFonts w:ascii="Arial" w:hAnsi="Arial" w:cs="Arial"/>
          <w:sz w:val="20"/>
          <w:szCs w:val="20"/>
        </w:rPr>
        <w:t xml:space="preserve">further </w:t>
      </w:r>
      <w:r w:rsidR="007E5716" w:rsidRPr="007E5716">
        <w:rPr>
          <w:rFonts w:ascii="Arial" w:hAnsi="Arial" w:cs="Arial"/>
          <w:sz w:val="20"/>
          <w:szCs w:val="20"/>
        </w:rPr>
        <w:t xml:space="preserve">implementation of </w:t>
      </w:r>
      <w:r>
        <w:rPr>
          <w:rFonts w:ascii="Arial" w:hAnsi="Arial" w:cs="Arial"/>
          <w:sz w:val="20"/>
          <w:szCs w:val="20"/>
        </w:rPr>
        <w:t>the</w:t>
      </w:r>
      <w:r w:rsidR="007E5716" w:rsidRPr="007E5716">
        <w:rPr>
          <w:rFonts w:ascii="Arial" w:hAnsi="Arial" w:cs="Arial"/>
          <w:sz w:val="20"/>
          <w:szCs w:val="20"/>
        </w:rPr>
        <w:t xml:space="preserve"> Enterprise Resource Planning system; and </w:t>
      </w:r>
    </w:p>
    <w:p w14:paraId="4BE2AFE6" w14:textId="4006374A" w:rsidR="001B15F2" w:rsidRPr="007E5716" w:rsidRDefault="007E5716" w:rsidP="007E5716">
      <w:pPr>
        <w:pStyle w:val="NoSpacing"/>
        <w:numPr>
          <w:ilvl w:val="0"/>
          <w:numId w:val="18"/>
        </w:numPr>
        <w:ind w:left="447" w:hanging="425"/>
        <w:jc w:val="both"/>
        <w:rPr>
          <w:rFonts w:ascii="Arial" w:hAnsi="Arial" w:cs="Arial"/>
          <w:sz w:val="20"/>
          <w:szCs w:val="20"/>
        </w:rPr>
      </w:pPr>
      <w:r w:rsidRPr="007E5716">
        <w:rPr>
          <w:rFonts w:ascii="Arial" w:hAnsi="Arial" w:cs="Arial"/>
          <w:sz w:val="20"/>
          <w:szCs w:val="20"/>
        </w:rPr>
        <w:t xml:space="preserve">ongoing investment in </w:t>
      </w:r>
      <w:r w:rsidR="003E5CC9">
        <w:rPr>
          <w:rFonts w:ascii="Arial" w:hAnsi="Arial" w:cs="Arial"/>
          <w:sz w:val="20"/>
          <w:szCs w:val="20"/>
        </w:rPr>
        <w:t>other investments</w:t>
      </w:r>
      <w:r w:rsidRPr="007E5716">
        <w:rPr>
          <w:rFonts w:ascii="Arial" w:hAnsi="Arial" w:cs="Arial"/>
          <w:sz w:val="20"/>
          <w:szCs w:val="20"/>
        </w:rPr>
        <w:t xml:space="preserve"> to generate alternative revenue streams and reduce reliance on rates.</w:t>
      </w:r>
    </w:p>
    <w:p w14:paraId="014D3635" w14:textId="77777777" w:rsidR="001B15F2" w:rsidRDefault="001B15F2" w:rsidP="00965B12">
      <w:pPr>
        <w:pStyle w:val="Header"/>
        <w:rPr>
          <w:rFonts w:ascii="Arial" w:hAnsi="Arial" w:cs="Arial"/>
          <w:sz w:val="20"/>
          <w:szCs w:val="20"/>
          <w:u w:val="single"/>
        </w:rPr>
      </w:pPr>
    </w:p>
    <w:p w14:paraId="6375BB35" w14:textId="77777777" w:rsidR="003E5CC9" w:rsidRDefault="003E5CC9" w:rsidP="00965B12">
      <w:pPr>
        <w:pStyle w:val="Header"/>
        <w:rPr>
          <w:rFonts w:ascii="Arial" w:hAnsi="Arial" w:cs="Arial"/>
          <w:sz w:val="20"/>
          <w:szCs w:val="20"/>
          <w:u w:val="single"/>
        </w:rPr>
      </w:pPr>
    </w:p>
    <w:p w14:paraId="1418CE71" w14:textId="5282DC60" w:rsidR="00FC3519" w:rsidRPr="00965B12" w:rsidRDefault="00FC3519" w:rsidP="00965B12">
      <w:pPr>
        <w:pStyle w:val="Header"/>
        <w:rPr>
          <w:rFonts w:ascii="Arial" w:hAnsi="Arial" w:cs="Arial"/>
          <w:sz w:val="20"/>
          <w:szCs w:val="20"/>
          <w:u w:val="single"/>
        </w:rPr>
      </w:pPr>
      <w:r w:rsidRPr="00965B12">
        <w:rPr>
          <w:rFonts w:ascii="Arial" w:hAnsi="Arial" w:cs="Arial"/>
          <w:sz w:val="20"/>
          <w:szCs w:val="20"/>
          <w:u w:val="single"/>
        </w:rPr>
        <w:t>Service Improvements:</w:t>
      </w:r>
    </w:p>
    <w:p w14:paraId="673BF142" w14:textId="13D9E630" w:rsidR="007E5716" w:rsidRDefault="0056516D" w:rsidP="007E5716">
      <w:pPr>
        <w:pStyle w:val="NoSpacing"/>
        <w:numPr>
          <w:ilvl w:val="0"/>
          <w:numId w:val="18"/>
        </w:numPr>
        <w:jc w:val="both"/>
        <w:rPr>
          <w:rFonts w:ascii="Arial" w:hAnsi="Arial" w:cs="Arial"/>
          <w:sz w:val="20"/>
          <w:szCs w:val="20"/>
        </w:rPr>
      </w:pPr>
      <w:r w:rsidRPr="00361F9A">
        <w:rPr>
          <w:rFonts w:ascii="Arial" w:hAnsi="Arial" w:cs="Arial"/>
          <w:sz w:val="20"/>
          <w:szCs w:val="20"/>
        </w:rPr>
        <w:t>Kevin Richards</w:t>
      </w:r>
      <w:r w:rsidR="00361F9A" w:rsidRPr="00361F9A">
        <w:rPr>
          <w:rFonts w:ascii="Arial" w:hAnsi="Arial" w:cs="Arial"/>
          <w:sz w:val="20"/>
          <w:szCs w:val="20"/>
        </w:rPr>
        <w:t xml:space="preserve"> Multi-use hardcourts and lighting $3.25 </w:t>
      </w:r>
      <w:r w:rsidR="00E15163" w:rsidRPr="00361F9A">
        <w:rPr>
          <w:rFonts w:ascii="Arial" w:hAnsi="Arial" w:cs="Arial"/>
          <w:sz w:val="20"/>
          <w:szCs w:val="20"/>
        </w:rPr>
        <w:t>million.</w:t>
      </w:r>
    </w:p>
    <w:p w14:paraId="5CB955E7" w14:textId="172D34D9" w:rsidR="00361F9A" w:rsidRDefault="002516E6" w:rsidP="007E5716">
      <w:pPr>
        <w:pStyle w:val="NoSpacing"/>
        <w:numPr>
          <w:ilvl w:val="0"/>
          <w:numId w:val="18"/>
        </w:numPr>
        <w:jc w:val="both"/>
        <w:rPr>
          <w:rFonts w:ascii="Arial" w:hAnsi="Arial" w:cs="Arial"/>
          <w:sz w:val="20"/>
          <w:szCs w:val="20"/>
        </w:rPr>
      </w:pPr>
      <w:r>
        <w:rPr>
          <w:rFonts w:ascii="Arial" w:hAnsi="Arial" w:cs="Arial"/>
          <w:sz w:val="20"/>
          <w:szCs w:val="20"/>
        </w:rPr>
        <w:t>Dampier Land Transfer</w:t>
      </w:r>
      <w:r w:rsidR="00664AE6">
        <w:rPr>
          <w:rFonts w:ascii="Arial" w:hAnsi="Arial" w:cs="Arial"/>
          <w:sz w:val="20"/>
          <w:szCs w:val="20"/>
        </w:rPr>
        <w:t xml:space="preserve"> from Rio </w:t>
      </w:r>
      <w:r w:rsidR="00E15163">
        <w:rPr>
          <w:rFonts w:ascii="Arial" w:hAnsi="Arial" w:cs="Arial"/>
          <w:sz w:val="20"/>
          <w:szCs w:val="20"/>
        </w:rPr>
        <w:t>Tinto.</w:t>
      </w:r>
    </w:p>
    <w:p w14:paraId="6DAA46BA" w14:textId="1232EC48" w:rsidR="00690F54" w:rsidRDefault="00690F54" w:rsidP="007E5716">
      <w:pPr>
        <w:pStyle w:val="NoSpacing"/>
        <w:numPr>
          <w:ilvl w:val="0"/>
          <w:numId w:val="18"/>
        </w:numPr>
        <w:jc w:val="both"/>
        <w:rPr>
          <w:rFonts w:ascii="Arial" w:hAnsi="Arial" w:cs="Arial"/>
          <w:sz w:val="20"/>
          <w:szCs w:val="20"/>
        </w:rPr>
      </w:pPr>
      <w:r>
        <w:rPr>
          <w:rFonts w:ascii="Arial" w:hAnsi="Arial" w:cs="Arial"/>
          <w:sz w:val="20"/>
          <w:szCs w:val="20"/>
        </w:rPr>
        <w:t xml:space="preserve">Wickham BMX &amp; Pump Tracks </w:t>
      </w:r>
      <w:r w:rsidR="00E15163">
        <w:rPr>
          <w:rFonts w:ascii="Arial" w:hAnsi="Arial" w:cs="Arial"/>
          <w:sz w:val="20"/>
          <w:szCs w:val="20"/>
        </w:rPr>
        <w:t>$850,000.</w:t>
      </w:r>
    </w:p>
    <w:p w14:paraId="54F18AC0" w14:textId="21150096" w:rsidR="00E66AD7" w:rsidRPr="00E66AD7" w:rsidRDefault="00E66AD7" w:rsidP="00E66AD7">
      <w:pPr>
        <w:pStyle w:val="NoSpacing"/>
        <w:numPr>
          <w:ilvl w:val="0"/>
          <w:numId w:val="18"/>
        </w:numPr>
        <w:jc w:val="both"/>
        <w:rPr>
          <w:rFonts w:ascii="Arial" w:hAnsi="Arial" w:cs="Arial"/>
          <w:sz w:val="20"/>
          <w:szCs w:val="20"/>
        </w:rPr>
      </w:pPr>
      <w:r w:rsidRPr="00F47B8C">
        <w:rPr>
          <w:rFonts w:ascii="Arial" w:hAnsi="Arial" w:cs="Arial"/>
          <w:sz w:val="20"/>
          <w:szCs w:val="20"/>
        </w:rPr>
        <w:t>Roebourne Streetscape Masterplan for town centre</w:t>
      </w:r>
      <w:r w:rsidR="00BB6BEE">
        <w:rPr>
          <w:rFonts w:ascii="Arial" w:hAnsi="Arial" w:cs="Arial"/>
          <w:sz w:val="20"/>
          <w:szCs w:val="20"/>
        </w:rPr>
        <w:t xml:space="preserve"> $2.4 million and Recreation Precinct $1 </w:t>
      </w:r>
      <w:r w:rsidR="00E15163">
        <w:rPr>
          <w:rFonts w:ascii="Arial" w:hAnsi="Arial" w:cs="Arial"/>
          <w:sz w:val="20"/>
          <w:szCs w:val="20"/>
        </w:rPr>
        <w:t>million</w:t>
      </w:r>
      <w:r w:rsidR="00E15163" w:rsidRPr="00F47B8C">
        <w:rPr>
          <w:rFonts w:ascii="Arial" w:hAnsi="Arial" w:cs="Arial"/>
          <w:sz w:val="20"/>
          <w:szCs w:val="20"/>
        </w:rPr>
        <w:t>.</w:t>
      </w:r>
    </w:p>
    <w:p w14:paraId="505EED65" w14:textId="2AEAABD8" w:rsidR="00C852B3" w:rsidRDefault="00C852B3" w:rsidP="007E5716">
      <w:pPr>
        <w:pStyle w:val="NoSpacing"/>
        <w:numPr>
          <w:ilvl w:val="0"/>
          <w:numId w:val="18"/>
        </w:numPr>
        <w:jc w:val="both"/>
        <w:rPr>
          <w:rFonts w:ascii="Arial" w:hAnsi="Arial" w:cs="Arial"/>
          <w:sz w:val="20"/>
          <w:szCs w:val="20"/>
        </w:rPr>
      </w:pPr>
      <w:r>
        <w:rPr>
          <w:rFonts w:ascii="Arial" w:hAnsi="Arial" w:cs="Arial"/>
          <w:sz w:val="20"/>
          <w:szCs w:val="20"/>
        </w:rPr>
        <w:t>Point Samson</w:t>
      </w:r>
      <w:r w:rsidR="008818F4">
        <w:rPr>
          <w:rFonts w:ascii="Arial" w:hAnsi="Arial" w:cs="Arial"/>
          <w:sz w:val="20"/>
          <w:szCs w:val="20"/>
        </w:rPr>
        <w:t xml:space="preserve"> Master </w:t>
      </w:r>
      <w:r w:rsidR="00E15163">
        <w:rPr>
          <w:rFonts w:ascii="Arial" w:hAnsi="Arial" w:cs="Arial"/>
          <w:sz w:val="20"/>
          <w:szCs w:val="20"/>
        </w:rPr>
        <w:t>Plan.</w:t>
      </w:r>
    </w:p>
    <w:p w14:paraId="1A431D5F" w14:textId="35E57F70" w:rsidR="006F1633" w:rsidRDefault="006F1633" w:rsidP="007E5716">
      <w:pPr>
        <w:pStyle w:val="NoSpacing"/>
        <w:numPr>
          <w:ilvl w:val="0"/>
          <w:numId w:val="18"/>
        </w:numPr>
        <w:jc w:val="both"/>
        <w:rPr>
          <w:rFonts w:ascii="Arial" w:hAnsi="Arial" w:cs="Arial"/>
          <w:sz w:val="20"/>
          <w:szCs w:val="20"/>
        </w:rPr>
      </w:pPr>
      <w:r>
        <w:rPr>
          <w:rFonts w:ascii="Arial" w:hAnsi="Arial" w:cs="Arial"/>
          <w:sz w:val="20"/>
          <w:szCs w:val="20"/>
        </w:rPr>
        <w:t xml:space="preserve">Karratha CBD Public </w:t>
      </w:r>
      <w:r w:rsidR="00E15163">
        <w:rPr>
          <w:rFonts w:ascii="Arial" w:hAnsi="Arial" w:cs="Arial"/>
          <w:sz w:val="20"/>
          <w:szCs w:val="20"/>
        </w:rPr>
        <w:t>Toilet.</w:t>
      </w:r>
    </w:p>
    <w:p w14:paraId="40EE3270" w14:textId="57DCAC24" w:rsidR="00D23E09" w:rsidRDefault="00D23E09" w:rsidP="007E5716">
      <w:pPr>
        <w:pStyle w:val="NoSpacing"/>
        <w:numPr>
          <w:ilvl w:val="0"/>
          <w:numId w:val="18"/>
        </w:numPr>
        <w:jc w:val="both"/>
        <w:rPr>
          <w:rFonts w:ascii="Arial" w:hAnsi="Arial" w:cs="Arial"/>
          <w:sz w:val="20"/>
          <w:szCs w:val="20"/>
        </w:rPr>
      </w:pPr>
      <w:r>
        <w:rPr>
          <w:rFonts w:ascii="Arial" w:hAnsi="Arial" w:cs="Arial"/>
          <w:sz w:val="20"/>
          <w:szCs w:val="20"/>
        </w:rPr>
        <w:t>Dampier</w:t>
      </w:r>
      <w:r w:rsidR="00690F54">
        <w:rPr>
          <w:rFonts w:ascii="Arial" w:hAnsi="Arial" w:cs="Arial"/>
          <w:sz w:val="20"/>
          <w:szCs w:val="20"/>
        </w:rPr>
        <w:t xml:space="preserve"> Townsite </w:t>
      </w:r>
      <w:r w:rsidR="00E15163">
        <w:rPr>
          <w:rFonts w:ascii="Arial" w:hAnsi="Arial" w:cs="Arial"/>
          <w:sz w:val="20"/>
          <w:szCs w:val="20"/>
        </w:rPr>
        <w:t>Masterplan.</w:t>
      </w:r>
    </w:p>
    <w:p w14:paraId="50E31692" w14:textId="2747CFC3" w:rsidR="00E66AD7" w:rsidRPr="00E66AD7" w:rsidRDefault="00E66AD7" w:rsidP="00E66AD7">
      <w:pPr>
        <w:pStyle w:val="NoSpacing"/>
        <w:numPr>
          <w:ilvl w:val="0"/>
          <w:numId w:val="18"/>
        </w:numPr>
        <w:jc w:val="both"/>
        <w:rPr>
          <w:rFonts w:ascii="Arial" w:hAnsi="Arial" w:cs="Arial"/>
          <w:sz w:val="20"/>
          <w:szCs w:val="20"/>
        </w:rPr>
      </w:pPr>
      <w:r w:rsidRPr="002D0618">
        <w:rPr>
          <w:rFonts w:ascii="Arial" w:hAnsi="Arial" w:cs="Arial"/>
          <w:sz w:val="20"/>
          <w:szCs w:val="20"/>
        </w:rPr>
        <w:t xml:space="preserve">Footpath, </w:t>
      </w:r>
      <w:r w:rsidR="00D87E1A" w:rsidRPr="002D0618">
        <w:rPr>
          <w:rFonts w:ascii="Arial" w:hAnsi="Arial" w:cs="Arial"/>
          <w:sz w:val="20"/>
          <w:szCs w:val="20"/>
        </w:rPr>
        <w:t>kerb,</w:t>
      </w:r>
      <w:r w:rsidRPr="002D0618">
        <w:rPr>
          <w:rFonts w:ascii="Arial" w:hAnsi="Arial" w:cs="Arial"/>
          <w:sz w:val="20"/>
          <w:szCs w:val="20"/>
        </w:rPr>
        <w:t xml:space="preserve"> and road renewals $9 </w:t>
      </w:r>
      <w:r w:rsidR="00E15163" w:rsidRPr="002D0618">
        <w:rPr>
          <w:rFonts w:ascii="Arial" w:hAnsi="Arial" w:cs="Arial"/>
          <w:sz w:val="20"/>
          <w:szCs w:val="20"/>
        </w:rPr>
        <w:t>million.</w:t>
      </w:r>
    </w:p>
    <w:p w14:paraId="01A36CC3" w14:textId="0DD38AFC" w:rsidR="007E5716" w:rsidRPr="00F47B8C" w:rsidRDefault="00E66AD7" w:rsidP="007E5716">
      <w:pPr>
        <w:pStyle w:val="NoSpacing"/>
        <w:numPr>
          <w:ilvl w:val="0"/>
          <w:numId w:val="18"/>
        </w:numPr>
        <w:jc w:val="both"/>
        <w:rPr>
          <w:rFonts w:ascii="Arial" w:hAnsi="Arial" w:cs="Arial"/>
          <w:sz w:val="20"/>
          <w:szCs w:val="20"/>
        </w:rPr>
      </w:pPr>
      <w:r>
        <w:rPr>
          <w:rFonts w:ascii="Arial" w:hAnsi="Arial" w:cs="Arial"/>
          <w:sz w:val="20"/>
          <w:szCs w:val="20"/>
        </w:rPr>
        <w:t>P</w:t>
      </w:r>
      <w:r w:rsidR="007E5716" w:rsidRPr="00F47B8C">
        <w:rPr>
          <w:rFonts w:ascii="Arial" w:hAnsi="Arial" w:cs="Arial"/>
          <w:sz w:val="20"/>
          <w:szCs w:val="20"/>
        </w:rPr>
        <w:t>ark enhancement including playground replacement and reticulation upgrades</w:t>
      </w:r>
      <w:r>
        <w:rPr>
          <w:rFonts w:ascii="Arial" w:hAnsi="Arial" w:cs="Arial"/>
          <w:sz w:val="20"/>
          <w:szCs w:val="20"/>
        </w:rPr>
        <w:t xml:space="preserve"> $1.3 </w:t>
      </w:r>
      <w:r w:rsidR="00E15163">
        <w:rPr>
          <w:rFonts w:ascii="Arial" w:hAnsi="Arial" w:cs="Arial"/>
          <w:sz w:val="20"/>
          <w:szCs w:val="20"/>
        </w:rPr>
        <w:t>million</w:t>
      </w:r>
      <w:r w:rsidR="00E15163" w:rsidRPr="00F47B8C">
        <w:rPr>
          <w:rFonts w:ascii="Arial" w:hAnsi="Arial" w:cs="Arial"/>
          <w:sz w:val="20"/>
          <w:szCs w:val="20"/>
        </w:rPr>
        <w:t>.</w:t>
      </w:r>
    </w:p>
    <w:p w14:paraId="75902B03" w14:textId="75EFA4E7" w:rsidR="007E5716" w:rsidRPr="00F47B8C" w:rsidRDefault="007E5716" w:rsidP="007E5716">
      <w:pPr>
        <w:pStyle w:val="NoSpacing"/>
        <w:numPr>
          <w:ilvl w:val="0"/>
          <w:numId w:val="18"/>
        </w:numPr>
        <w:jc w:val="both"/>
        <w:rPr>
          <w:rFonts w:ascii="Arial" w:hAnsi="Arial" w:cs="Arial"/>
          <w:sz w:val="20"/>
          <w:szCs w:val="20"/>
        </w:rPr>
      </w:pPr>
      <w:r w:rsidRPr="00F47B8C">
        <w:rPr>
          <w:rFonts w:ascii="Arial" w:hAnsi="Arial" w:cs="Arial"/>
          <w:sz w:val="20"/>
          <w:szCs w:val="20"/>
        </w:rPr>
        <w:t xml:space="preserve">Airport </w:t>
      </w:r>
      <w:r w:rsidR="00E66AD7">
        <w:rPr>
          <w:rFonts w:ascii="Arial" w:hAnsi="Arial" w:cs="Arial"/>
          <w:sz w:val="20"/>
          <w:szCs w:val="20"/>
        </w:rPr>
        <w:t>airside</w:t>
      </w:r>
      <w:r w:rsidRPr="00F47B8C">
        <w:rPr>
          <w:rFonts w:ascii="Arial" w:hAnsi="Arial" w:cs="Arial"/>
          <w:sz w:val="20"/>
          <w:szCs w:val="20"/>
        </w:rPr>
        <w:t xml:space="preserve"> and </w:t>
      </w:r>
      <w:r w:rsidR="00E66AD7">
        <w:rPr>
          <w:rFonts w:ascii="Arial" w:hAnsi="Arial" w:cs="Arial"/>
          <w:sz w:val="20"/>
          <w:szCs w:val="20"/>
        </w:rPr>
        <w:t>equipment</w:t>
      </w:r>
      <w:r w:rsidRPr="00F47B8C">
        <w:rPr>
          <w:rFonts w:ascii="Arial" w:hAnsi="Arial" w:cs="Arial"/>
          <w:sz w:val="20"/>
          <w:szCs w:val="20"/>
        </w:rPr>
        <w:t xml:space="preserve"> </w:t>
      </w:r>
      <w:r w:rsidR="00E15163" w:rsidRPr="00F47B8C">
        <w:rPr>
          <w:rFonts w:ascii="Arial" w:hAnsi="Arial" w:cs="Arial"/>
          <w:sz w:val="20"/>
          <w:szCs w:val="20"/>
        </w:rPr>
        <w:t>upgrades.</w:t>
      </w:r>
    </w:p>
    <w:p w14:paraId="116A5C8B" w14:textId="4652D500" w:rsidR="007E5716" w:rsidRPr="00F47B8C" w:rsidRDefault="007E5716" w:rsidP="007E5716">
      <w:pPr>
        <w:pStyle w:val="NoSpacing"/>
        <w:numPr>
          <w:ilvl w:val="0"/>
          <w:numId w:val="18"/>
        </w:numPr>
        <w:jc w:val="both"/>
        <w:rPr>
          <w:rFonts w:ascii="Arial" w:hAnsi="Arial" w:cs="Arial"/>
          <w:sz w:val="20"/>
          <w:szCs w:val="20"/>
        </w:rPr>
      </w:pPr>
      <w:r w:rsidRPr="00F47B8C">
        <w:rPr>
          <w:rFonts w:ascii="Arial" w:hAnsi="Arial" w:cs="Arial"/>
          <w:sz w:val="20"/>
          <w:szCs w:val="20"/>
        </w:rPr>
        <w:t>Ranger</w:t>
      </w:r>
      <w:r w:rsidR="008818F4">
        <w:rPr>
          <w:rFonts w:ascii="Arial" w:hAnsi="Arial" w:cs="Arial"/>
          <w:sz w:val="20"/>
          <w:szCs w:val="20"/>
        </w:rPr>
        <w:t xml:space="preserve"> visibility</w:t>
      </w:r>
      <w:r w:rsidRPr="00F47B8C">
        <w:rPr>
          <w:rFonts w:ascii="Arial" w:hAnsi="Arial" w:cs="Arial"/>
          <w:sz w:val="20"/>
          <w:szCs w:val="20"/>
        </w:rPr>
        <w:t xml:space="preserve"> in the </w:t>
      </w:r>
      <w:r w:rsidR="00E15163" w:rsidRPr="00F47B8C">
        <w:rPr>
          <w:rFonts w:ascii="Arial" w:hAnsi="Arial" w:cs="Arial"/>
          <w:sz w:val="20"/>
          <w:szCs w:val="20"/>
        </w:rPr>
        <w:t>community.</w:t>
      </w:r>
    </w:p>
    <w:p w14:paraId="386D0BE0" w14:textId="23129C5A" w:rsidR="007E5716" w:rsidRPr="00A622DA" w:rsidRDefault="00DF1729" w:rsidP="007E5716">
      <w:pPr>
        <w:pStyle w:val="NoSpacing"/>
        <w:numPr>
          <w:ilvl w:val="0"/>
          <w:numId w:val="18"/>
        </w:numPr>
        <w:jc w:val="both"/>
        <w:rPr>
          <w:rFonts w:ascii="Arial" w:hAnsi="Arial" w:cs="Arial"/>
          <w:sz w:val="20"/>
          <w:szCs w:val="20"/>
        </w:rPr>
      </w:pPr>
      <w:r>
        <w:rPr>
          <w:rFonts w:ascii="Arial" w:hAnsi="Arial" w:cs="Arial"/>
          <w:sz w:val="20"/>
          <w:szCs w:val="20"/>
        </w:rPr>
        <w:t>Increased g</w:t>
      </w:r>
      <w:r w:rsidR="007E5716" w:rsidRPr="00A622DA">
        <w:rPr>
          <w:rFonts w:ascii="Arial" w:hAnsi="Arial" w:cs="Arial"/>
          <w:sz w:val="20"/>
          <w:szCs w:val="20"/>
        </w:rPr>
        <w:t xml:space="preserve">rant funding opportunities for community </w:t>
      </w:r>
      <w:r w:rsidR="00E15163" w:rsidRPr="00A622DA">
        <w:rPr>
          <w:rFonts w:ascii="Arial" w:hAnsi="Arial" w:cs="Arial"/>
          <w:sz w:val="20"/>
          <w:szCs w:val="20"/>
        </w:rPr>
        <w:t>organisations.</w:t>
      </w:r>
    </w:p>
    <w:p w14:paraId="4A6D5FE0" w14:textId="1DE5B1C9" w:rsidR="007E5716" w:rsidRPr="00A622DA" w:rsidRDefault="002516E6" w:rsidP="007E5716">
      <w:pPr>
        <w:pStyle w:val="NoSpacing"/>
        <w:numPr>
          <w:ilvl w:val="0"/>
          <w:numId w:val="18"/>
        </w:numPr>
        <w:jc w:val="both"/>
        <w:rPr>
          <w:rFonts w:ascii="Arial" w:hAnsi="Arial" w:cs="Arial"/>
          <w:sz w:val="20"/>
          <w:szCs w:val="20"/>
        </w:rPr>
      </w:pPr>
      <w:r>
        <w:rPr>
          <w:rFonts w:ascii="Arial" w:hAnsi="Arial" w:cs="Arial"/>
          <w:sz w:val="20"/>
          <w:szCs w:val="20"/>
        </w:rPr>
        <w:t xml:space="preserve">Implementation of Community Infrastructure </w:t>
      </w:r>
      <w:r w:rsidR="00E15163">
        <w:rPr>
          <w:rFonts w:ascii="Arial" w:hAnsi="Arial" w:cs="Arial"/>
          <w:sz w:val="20"/>
          <w:szCs w:val="20"/>
        </w:rPr>
        <w:t>Plan</w:t>
      </w:r>
      <w:r w:rsidR="00E15163" w:rsidRPr="00A622DA">
        <w:rPr>
          <w:rFonts w:ascii="Arial" w:hAnsi="Arial" w:cs="Arial"/>
          <w:sz w:val="20"/>
          <w:szCs w:val="20"/>
        </w:rPr>
        <w:t>.</w:t>
      </w:r>
    </w:p>
    <w:p w14:paraId="192D3769" w14:textId="4841D575" w:rsidR="007E5716" w:rsidRPr="00A622DA" w:rsidRDefault="00E66AD7" w:rsidP="007E5716">
      <w:pPr>
        <w:pStyle w:val="ListParagraph"/>
        <w:numPr>
          <w:ilvl w:val="0"/>
          <w:numId w:val="18"/>
        </w:numPr>
        <w:jc w:val="both"/>
        <w:rPr>
          <w:rFonts w:cs="Arial"/>
          <w:szCs w:val="20"/>
          <w:u w:val="single"/>
        </w:rPr>
      </w:pPr>
      <w:r>
        <w:rPr>
          <w:rFonts w:cs="Arial"/>
          <w:szCs w:val="20"/>
        </w:rPr>
        <w:t>I</w:t>
      </w:r>
      <w:r w:rsidR="007E5716" w:rsidRPr="00A622DA">
        <w:rPr>
          <w:rFonts w:cs="Arial"/>
          <w:szCs w:val="20"/>
        </w:rPr>
        <w:t xml:space="preserve">ncrease in </w:t>
      </w:r>
      <w:r w:rsidR="00CF4006" w:rsidRPr="00A622DA">
        <w:rPr>
          <w:rFonts w:cs="Arial"/>
          <w:szCs w:val="20"/>
        </w:rPr>
        <w:t>Indigenous</w:t>
      </w:r>
      <w:r w:rsidR="007E5716" w:rsidRPr="00A622DA">
        <w:rPr>
          <w:rFonts w:cs="Arial"/>
          <w:szCs w:val="20"/>
        </w:rPr>
        <w:t xml:space="preserve"> </w:t>
      </w:r>
      <w:r w:rsidR="00E15163" w:rsidRPr="00A622DA">
        <w:rPr>
          <w:rFonts w:cs="Arial"/>
          <w:szCs w:val="20"/>
        </w:rPr>
        <w:t>engagement.</w:t>
      </w:r>
    </w:p>
    <w:p w14:paraId="7CB1BB5D" w14:textId="004AA425" w:rsidR="00E57A6E" w:rsidRPr="00A622DA" w:rsidRDefault="00DF1729" w:rsidP="007E5716">
      <w:pPr>
        <w:pStyle w:val="ListParagraph"/>
        <w:numPr>
          <w:ilvl w:val="0"/>
          <w:numId w:val="18"/>
        </w:numPr>
        <w:jc w:val="both"/>
        <w:rPr>
          <w:rFonts w:cs="Arial"/>
          <w:szCs w:val="20"/>
          <w:u w:val="single"/>
        </w:rPr>
      </w:pPr>
      <w:r>
        <w:rPr>
          <w:rFonts w:cs="Arial"/>
          <w:szCs w:val="20"/>
        </w:rPr>
        <w:t>A</w:t>
      </w:r>
      <w:r w:rsidR="007E5716" w:rsidRPr="00A622DA">
        <w:rPr>
          <w:rFonts w:cs="Arial"/>
          <w:szCs w:val="20"/>
        </w:rPr>
        <w:t>ttraction and retention of skilled workers under Designated Area Migration Agreement (DAMA).</w:t>
      </w:r>
    </w:p>
    <w:p w14:paraId="5CB4DFEE" w14:textId="77777777" w:rsidR="007E5716" w:rsidRDefault="007E5716" w:rsidP="007E5716">
      <w:pPr>
        <w:jc w:val="both"/>
        <w:rPr>
          <w:u w:val="single"/>
        </w:rPr>
      </w:pPr>
    </w:p>
    <w:p w14:paraId="643E0673" w14:textId="17954614" w:rsidR="00DF3FDA" w:rsidRPr="00A622DA" w:rsidRDefault="00DF3FDA" w:rsidP="007E5716">
      <w:pPr>
        <w:jc w:val="both"/>
        <w:rPr>
          <w:u w:val="single"/>
        </w:rPr>
      </w:pPr>
      <w:r>
        <w:rPr>
          <w:noProof/>
        </w:rPr>
        <w:drawing>
          <wp:inline distT="0" distB="0" distL="0" distR="0" wp14:anchorId="54AE33D9" wp14:editId="5E10FEDE">
            <wp:extent cx="5581650" cy="2847975"/>
            <wp:effectExtent l="0" t="0" r="0" b="9525"/>
            <wp:docPr id="1453990013" name="Chart 1">
              <a:extLst xmlns:a="http://schemas.openxmlformats.org/drawingml/2006/main">
                <a:ext uri="{FF2B5EF4-FFF2-40B4-BE49-F238E27FC236}">
                  <a16:creationId xmlns:a16="http://schemas.microsoft.com/office/drawing/2014/main" id="{FD196EC6-AD37-A870-D0B3-859B10CEAA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75970E" w14:textId="43B22CB7" w:rsidR="004273F5" w:rsidRPr="00DF3FDA" w:rsidRDefault="004273F5" w:rsidP="004273F5">
      <w:pPr>
        <w:spacing w:after="0" w:line="240" w:lineRule="auto"/>
        <w:rPr>
          <w:rFonts w:ascii="Arial" w:hAnsi="Arial" w:cs="Arial"/>
          <w:i/>
          <w:iCs/>
          <w:sz w:val="20"/>
          <w:szCs w:val="20"/>
        </w:rPr>
      </w:pPr>
      <w:r w:rsidRPr="00DF3FDA">
        <w:rPr>
          <w:rFonts w:ascii="Arial" w:hAnsi="Arial" w:cs="Arial"/>
          <w:i/>
          <w:iCs/>
          <w:sz w:val="20"/>
          <w:szCs w:val="20"/>
        </w:rPr>
        <w:t>Graph 1</w:t>
      </w:r>
      <w:r w:rsidR="00DF3FDA">
        <w:rPr>
          <w:rFonts w:ascii="Arial" w:hAnsi="Arial" w:cs="Arial"/>
          <w:i/>
          <w:iCs/>
          <w:sz w:val="20"/>
          <w:szCs w:val="20"/>
        </w:rPr>
        <w:t>:</w:t>
      </w:r>
      <w:r w:rsidRPr="00DF3FDA">
        <w:rPr>
          <w:rFonts w:ascii="Arial" w:hAnsi="Arial" w:cs="Arial"/>
          <w:i/>
          <w:iCs/>
          <w:sz w:val="20"/>
          <w:szCs w:val="20"/>
        </w:rPr>
        <w:t xml:space="preserve"> represents the total 2025/26 rates to be levied by category</w:t>
      </w:r>
    </w:p>
    <w:p w14:paraId="2EE989E4" w14:textId="77777777" w:rsidR="00D61D26" w:rsidRDefault="00D61D26" w:rsidP="00000806">
      <w:pPr>
        <w:spacing w:after="0" w:line="240" w:lineRule="auto"/>
        <w:jc w:val="both"/>
        <w:rPr>
          <w:rFonts w:ascii="Arial" w:hAnsi="Arial" w:cs="Arial"/>
          <w:b/>
          <w:sz w:val="20"/>
          <w:szCs w:val="20"/>
        </w:rPr>
      </w:pPr>
    </w:p>
    <w:p w14:paraId="60B469AE" w14:textId="77777777" w:rsidR="00873563" w:rsidRDefault="00873563" w:rsidP="00000806">
      <w:pPr>
        <w:spacing w:after="0" w:line="240" w:lineRule="auto"/>
        <w:jc w:val="both"/>
        <w:rPr>
          <w:rFonts w:ascii="Arial" w:hAnsi="Arial" w:cs="Arial"/>
          <w:b/>
          <w:sz w:val="20"/>
          <w:szCs w:val="20"/>
        </w:rPr>
      </w:pPr>
    </w:p>
    <w:p w14:paraId="4E38CDB5" w14:textId="57A499FD" w:rsidR="00604354" w:rsidRPr="00604354" w:rsidRDefault="00604354" w:rsidP="00000806">
      <w:pPr>
        <w:spacing w:after="0" w:line="240" w:lineRule="auto"/>
        <w:jc w:val="both"/>
        <w:rPr>
          <w:rFonts w:ascii="Arial" w:hAnsi="Arial" w:cs="Arial"/>
          <w:b/>
          <w:sz w:val="20"/>
          <w:szCs w:val="20"/>
        </w:rPr>
      </w:pPr>
      <w:r w:rsidRPr="00604354">
        <w:rPr>
          <w:rFonts w:ascii="Arial" w:hAnsi="Arial" w:cs="Arial"/>
          <w:b/>
          <w:sz w:val="20"/>
          <w:szCs w:val="20"/>
        </w:rPr>
        <w:t>GROSS RENTAL VALUE PROPERTIES (GRV)</w:t>
      </w:r>
    </w:p>
    <w:p w14:paraId="74386900" w14:textId="77777777" w:rsidR="00604354" w:rsidRPr="00604354" w:rsidRDefault="00604354" w:rsidP="00000806">
      <w:pPr>
        <w:spacing w:before="120" w:after="0" w:line="240" w:lineRule="auto"/>
        <w:jc w:val="both"/>
        <w:rPr>
          <w:rFonts w:ascii="Arial" w:hAnsi="Arial" w:cs="Arial"/>
          <w:sz w:val="20"/>
          <w:szCs w:val="20"/>
        </w:rPr>
      </w:pPr>
      <w:r w:rsidRPr="00604354">
        <w:rPr>
          <w:rFonts w:ascii="Arial" w:hAnsi="Arial" w:cs="Arial"/>
          <w:sz w:val="20"/>
          <w:szCs w:val="20"/>
        </w:rPr>
        <w:t xml:space="preserve">The </w:t>
      </w:r>
      <w:r w:rsidRPr="00604354">
        <w:rPr>
          <w:rFonts w:ascii="Arial" w:hAnsi="Arial" w:cs="Arial"/>
          <w:i/>
          <w:sz w:val="20"/>
          <w:szCs w:val="20"/>
        </w:rPr>
        <w:t>Local Government Act 1995</w:t>
      </w:r>
      <w:r w:rsidRPr="00604354">
        <w:rPr>
          <w:rFonts w:ascii="Arial" w:hAnsi="Arial" w:cs="Arial"/>
          <w:sz w:val="20"/>
          <w:szCs w:val="20"/>
        </w:rPr>
        <w:t xml:space="preserve"> determines that properties of a </w:t>
      </w:r>
      <w:r w:rsidR="00FC47B2">
        <w:rPr>
          <w:rFonts w:ascii="Arial" w:hAnsi="Arial" w:cs="Arial"/>
          <w:sz w:val="20"/>
          <w:szCs w:val="20"/>
        </w:rPr>
        <w:t>n</w:t>
      </w:r>
      <w:r w:rsidRPr="00604354">
        <w:rPr>
          <w:rFonts w:ascii="Arial" w:hAnsi="Arial" w:cs="Arial"/>
          <w:sz w:val="20"/>
          <w:szCs w:val="20"/>
        </w:rPr>
        <w:t>on-</w:t>
      </w:r>
      <w:r w:rsidR="00FC47B2">
        <w:rPr>
          <w:rFonts w:ascii="Arial" w:hAnsi="Arial" w:cs="Arial"/>
          <w:sz w:val="20"/>
          <w:szCs w:val="20"/>
        </w:rPr>
        <w:t>r</w:t>
      </w:r>
      <w:r w:rsidRPr="00604354">
        <w:rPr>
          <w:rFonts w:ascii="Arial" w:hAnsi="Arial" w:cs="Arial"/>
          <w:sz w:val="20"/>
          <w:szCs w:val="20"/>
        </w:rPr>
        <w:t>ural purpose be rated using the Gross Rental Valuation (GRV) as the basis for the calculation of annual rates.</w:t>
      </w:r>
    </w:p>
    <w:p w14:paraId="33211372" w14:textId="77777777" w:rsidR="00604354" w:rsidRPr="00E927C9" w:rsidRDefault="00604354" w:rsidP="00000806">
      <w:pPr>
        <w:spacing w:after="0" w:line="240" w:lineRule="auto"/>
        <w:jc w:val="both"/>
        <w:rPr>
          <w:rFonts w:ascii="Arial" w:hAnsi="Arial" w:cs="Arial"/>
          <w:color w:val="FF0000"/>
          <w:sz w:val="20"/>
          <w:szCs w:val="20"/>
        </w:rPr>
      </w:pPr>
    </w:p>
    <w:p w14:paraId="16F3CC5E" w14:textId="3FEB2FF8" w:rsidR="003843E9" w:rsidRDefault="00325892" w:rsidP="00604354">
      <w:pPr>
        <w:spacing w:after="0" w:line="240" w:lineRule="auto"/>
        <w:jc w:val="both"/>
        <w:rPr>
          <w:rFonts w:ascii="Arial" w:hAnsi="Arial" w:cs="Arial"/>
          <w:sz w:val="20"/>
          <w:szCs w:val="20"/>
        </w:rPr>
      </w:pPr>
      <w:r w:rsidRPr="00633BBE">
        <w:rPr>
          <w:rFonts w:ascii="Arial" w:hAnsi="Arial" w:cs="Arial"/>
          <w:sz w:val="20"/>
          <w:szCs w:val="20"/>
        </w:rPr>
        <w:t xml:space="preserve">The Valuer </w:t>
      </w:r>
      <w:r w:rsidR="00C7373C" w:rsidRPr="00633BBE">
        <w:rPr>
          <w:rFonts w:ascii="Arial" w:hAnsi="Arial" w:cs="Arial"/>
          <w:sz w:val="20"/>
          <w:szCs w:val="20"/>
        </w:rPr>
        <w:t xml:space="preserve">General supplies and updates </w:t>
      </w:r>
      <w:r w:rsidR="00604354" w:rsidRPr="00633BBE">
        <w:rPr>
          <w:rFonts w:ascii="Arial" w:hAnsi="Arial" w:cs="Arial"/>
          <w:sz w:val="20"/>
          <w:szCs w:val="20"/>
        </w:rPr>
        <w:t>the GRV for all properties within the City of Karratha every three</w:t>
      </w:r>
      <w:r w:rsidR="0037794B">
        <w:rPr>
          <w:rFonts w:ascii="Arial" w:hAnsi="Arial" w:cs="Arial"/>
          <w:sz w:val="20"/>
          <w:szCs w:val="20"/>
        </w:rPr>
        <w:t xml:space="preserve"> </w:t>
      </w:r>
      <w:r w:rsidR="00604354" w:rsidRPr="00633BBE">
        <w:rPr>
          <w:rFonts w:ascii="Arial" w:hAnsi="Arial" w:cs="Arial"/>
          <w:sz w:val="20"/>
          <w:szCs w:val="20"/>
        </w:rPr>
        <w:t xml:space="preserve">years. </w:t>
      </w:r>
      <w:r w:rsidR="0037794B">
        <w:rPr>
          <w:rFonts w:ascii="Arial" w:hAnsi="Arial" w:cs="Arial"/>
          <w:sz w:val="20"/>
          <w:szCs w:val="20"/>
        </w:rPr>
        <w:t>Landgate conducted a full valuation in late 202</w:t>
      </w:r>
      <w:r w:rsidR="003E5CC9">
        <w:rPr>
          <w:rFonts w:ascii="Arial" w:hAnsi="Arial" w:cs="Arial"/>
          <w:sz w:val="20"/>
          <w:szCs w:val="20"/>
        </w:rPr>
        <w:t>4</w:t>
      </w:r>
      <w:r w:rsidR="004475B4">
        <w:rPr>
          <w:rFonts w:ascii="Arial" w:hAnsi="Arial" w:cs="Arial"/>
          <w:sz w:val="20"/>
          <w:szCs w:val="20"/>
        </w:rPr>
        <w:t xml:space="preserve">, with updated valuations applicable from </w:t>
      </w:r>
      <w:r w:rsidR="003B45C4" w:rsidRPr="00633BBE">
        <w:rPr>
          <w:rFonts w:ascii="Arial" w:hAnsi="Arial" w:cs="Arial"/>
          <w:sz w:val="20"/>
          <w:szCs w:val="20"/>
        </w:rPr>
        <w:t>1 July 202</w:t>
      </w:r>
      <w:r w:rsidR="003E5CC9">
        <w:rPr>
          <w:rFonts w:ascii="Arial" w:hAnsi="Arial" w:cs="Arial"/>
          <w:sz w:val="20"/>
          <w:szCs w:val="20"/>
        </w:rPr>
        <w:t>5</w:t>
      </w:r>
      <w:r w:rsidR="007A4456" w:rsidRPr="00633BBE">
        <w:rPr>
          <w:rFonts w:ascii="Arial" w:hAnsi="Arial" w:cs="Arial"/>
          <w:sz w:val="20"/>
          <w:szCs w:val="20"/>
        </w:rPr>
        <w:t>.</w:t>
      </w:r>
    </w:p>
    <w:p w14:paraId="60086809" w14:textId="77777777" w:rsidR="00A21B1C" w:rsidRDefault="00A21B1C" w:rsidP="00604354">
      <w:pPr>
        <w:spacing w:after="0" w:line="240" w:lineRule="auto"/>
        <w:jc w:val="both"/>
        <w:rPr>
          <w:rFonts w:ascii="Arial" w:hAnsi="Arial" w:cs="Arial"/>
          <w:sz w:val="20"/>
          <w:szCs w:val="20"/>
        </w:rPr>
      </w:pPr>
    </w:p>
    <w:p w14:paraId="3E1ED37E" w14:textId="41929532" w:rsidR="00A21B1C" w:rsidRDefault="00A21B1C" w:rsidP="00604354">
      <w:pPr>
        <w:spacing w:after="0" w:line="240" w:lineRule="auto"/>
        <w:jc w:val="both"/>
        <w:rPr>
          <w:rFonts w:ascii="Arial" w:hAnsi="Arial" w:cs="Arial"/>
          <w:sz w:val="20"/>
          <w:szCs w:val="20"/>
        </w:rPr>
      </w:pPr>
      <w:r>
        <w:rPr>
          <w:rFonts w:ascii="Arial" w:hAnsi="Arial" w:cs="Arial"/>
          <w:sz w:val="20"/>
          <w:szCs w:val="20"/>
        </w:rPr>
        <w:t xml:space="preserve">The valuation provided a </w:t>
      </w:r>
      <w:r w:rsidR="007214C5">
        <w:rPr>
          <w:rFonts w:ascii="Arial" w:hAnsi="Arial" w:cs="Arial"/>
          <w:sz w:val="20"/>
          <w:szCs w:val="20"/>
        </w:rPr>
        <w:t>broad</w:t>
      </w:r>
      <w:r>
        <w:rPr>
          <w:rFonts w:ascii="Arial" w:hAnsi="Arial" w:cs="Arial"/>
          <w:sz w:val="20"/>
          <w:szCs w:val="20"/>
        </w:rPr>
        <w:t xml:space="preserve"> range of adjustments to the</w:t>
      </w:r>
      <w:r w:rsidR="00F854B3">
        <w:rPr>
          <w:rFonts w:ascii="Arial" w:hAnsi="Arial" w:cs="Arial"/>
          <w:sz w:val="20"/>
          <w:szCs w:val="20"/>
        </w:rPr>
        <w:t xml:space="preserve"> Gross Rental Values</w:t>
      </w:r>
      <w:r w:rsidR="00343632">
        <w:rPr>
          <w:rFonts w:ascii="Arial" w:hAnsi="Arial" w:cs="Arial"/>
          <w:sz w:val="20"/>
          <w:szCs w:val="20"/>
        </w:rPr>
        <w:t xml:space="preserve">, however in summary the below </w:t>
      </w:r>
      <w:r w:rsidR="00883EF8">
        <w:rPr>
          <w:rFonts w:ascii="Arial" w:hAnsi="Arial" w:cs="Arial"/>
          <w:sz w:val="20"/>
          <w:szCs w:val="20"/>
        </w:rPr>
        <w:t xml:space="preserve">averages </w:t>
      </w:r>
      <w:r w:rsidR="00343632">
        <w:rPr>
          <w:rFonts w:ascii="Arial" w:hAnsi="Arial" w:cs="Arial"/>
          <w:sz w:val="20"/>
          <w:szCs w:val="20"/>
        </w:rPr>
        <w:t>appl</w:t>
      </w:r>
      <w:r w:rsidR="00883EF8">
        <w:rPr>
          <w:rFonts w:ascii="Arial" w:hAnsi="Arial" w:cs="Arial"/>
          <w:sz w:val="20"/>
          <w:szCs w:val="20"/>
        </w:rPr>
        <w:t>y</w:t>
      </w:r>
      <w:r w:rsidR="00B214B6">
        <w:rPr>
          <w:rFonts w:ascii="Arial" w:hAnsi="Arial" w:cs="Arial"/>
          <w:sz w:val="20"/>
          <w:szCs w:val="20"/>
        </w:rPr>
        <w:t xml:space="preserve"> by category</w:t>
      </w:r>
      <w:r w:rsidR="00343632">
        <w:rPr>
          <w:rFonts w:ascii="Arial" w:hAnsi="Arial" w:cs="Arial"/>
          <w:sz w:val="20"/>
          <w:szCs w:val="20"/>
        </w:rPr>
        <w:t>:</w:t>
      </w:r>
    </w:p>
    <w:p w14:paraId="39509580" w14:textId="6A1578CB" w:rsidR="00343632" w:rsidRPr="00633BBE" w:rsidRDefault="00343632" w:rsidP="00604354">
      <w:pPr>
        <w:spacing w:after="0" w:line="240" w:lineRule="auto"/>
        <w:jc w:val="both"/>
        <w:rPr>
          <w:rFonts w:ascii="Arial" w:hAnsi="Arial" w:cs="Arial"/>
          <w:sz w:val="20"/>
          <w:szCs w:val="20"/>
        </w:rPr>
      </w:pPr>
      <w:r>
        <w:rPr>
          <w:rFonts w:ascii="Arial" w:hAnsi="Arial" w:cs="Arial"/>
          <w:sz w:val="20"/>
          <w:szCs w:val="20"/>
        </w:rPr>
        <w:tab/>
        <w:t>Residential</w:t>
      </w:r>
      <w:r w:rsidR="00883EF8">
        <w:rPr>
          <w:rFonts w:ascii="Arial" w:hAnsi="Arial" w:cs="Arial"/>
          <w:sz w:val="20"/>
          <w:szCs w:val="20"/>
        </w:rPr>
        <w:tab/>
      </w:r>
      <w:r w:rsidR="00D54BE1">
        <w:rPr>
          <w:rFonts w:ascii="Arial" w:hAnsi="Arial" w:cs="Arial"/>
          <w:sz w:val="20"/>
          <w:szCs w:val="20"/>
        </w:rPr>
        <w:tab/>
      </w:r>
      <w:r w:rsidR="00D54BE1">
        <w:rPr>
          <w:rFonts w:ascii="Arial" w:hAnsi="Arial" w:cs="Arial"/>
          <w:sz w:val="20"/>
          <w:szCs w:val="20"/>
        </w:rPr>
        <w:tab/>
      </w:r>
      <w:r w:rsidR="00883EF8">
        <w:rPr>
          <w:rFonts w:ascii="Arial" w:hAnsi="Arial" w:cs="Arial"/>
          <w:sz w:val="20"/>
          <w:szCs w:val="20"/>
        </w:rPr>
        <w:t xml:space="preserve">36% </w:t>
      </w:r>
      <w:r w:rsidR="00CE235C">
        <w:rPr>
          <w:rFonts w:ascii="Arial" w:hAnsi="Arial" w:cs="Arial"/>
          <w:sz w:val="20"/>
          <w:szCs w:val="20"/>
        </w:rPr>
        <w:t>median change</w:t>
      </w:r>
      <w:r>
        <w:rPr>
          <w:rFonts w:ascii="Arial" w:hAnsi="Arial" w:cs="Arial"/>
          <w:sz w:val="20"/>
          <w:szCs w:val="20"/>
        </w:rPr>
        <w:tab/>
      </w:r>
    </w:p>
    <w:p w14:paraId="16104CB0" w14:textId="77777777" w:rsidR="00CE235C" w:rsidRDefault="003843E9" w:rsidP="00604354">
      <w:pPr>
        <w:spacing w:after="0" w:line="240" w:lineRule="auto"/>
        <w:jc w:val="both"/>
        <w:rPr>
          <w:rFonts w:ascii="Arial" w:hAnsi="Arial" w:cs="Arial"/>
          <w:sz w:val="20"/>
          <w:szCs w:val="20"/>
        </w:rPr>
      </w:pPr>
      <w:r w:rsidRPr="00633BBE">
        <w:rPr>
          <w:rFonts w:ascii="Arial" w:hAnsi="Arial" w:cs="Arial"/>
          <w:sz w:val="20"/>
          <w:szCs w:val="20"/>
        </w:rPr>
        <w:t xml:space="preserve"> </w:t>
      </w:r>
      <w:r w:rsidR="00883EF8">
        <w:rPr>
          <w:rFonts w:ascii="Arial" w:hAnsi="Arial" w:cs="Arial"/>
          <w:sz w:val="20"/>
          <w:szCs w:val="20"/>
        </w:rPr>
        <w:tab/>
      </w:r>
      <w:r w:rsidR="00F06912">
        <w:rPr>
          <w:rFonts w:ascii="Arial" w:hAnsi="Arial" w:cs="Arial"/>
          <w:sz w:val="20"/>
          <w:szCs w:val="20"/>
        </w:rPr>
        <w:t>Commercial</w:t>
      </w:r>
      <w:r w:rsidR="00CE235C">
        <w:rPr>
          <w:rFonts w:ascii="Arial" w:hAnsi="Arial" w:cs="Arial"/>
          <w:sz w:val="20"/>
          <w:szCs w:val="20"/>
        </w:rPr>
        <w:tab/>
      </w:r>
      <w:r w:rsidR="00CE235C">
        <w:rPr>
          <w:rFonts w:ascii="Arial" w:hAnsi="Arial" w:cs="Arial"/>
          <w:sz w:val="20"/>
          <w:szCs w:val="20"/>
        </w:rPr>
        <w:tab/>
      </w:r>
      <w:r w:rsidR="00CE235C">
        <w:rPr>
          <w:rFonts w:ascii="Arial" w:hAnsi="Arial" w:cs="Arial"/>
          <w:sz w:val="20"/>
          <w:szCs w:val="20"/>
        </w:rPr>
        <w:tab/>
        <w:t>8.7% median change</w:t>
      </w:r>
    </w:p>
    <w:p w14:paraId="76DB97A1" w14:textId="77777777" w:rsidR="00CE235C" w:rsidRDefault="00CE235C" w:rsidP="00604354">
      <w:pPr>
        <w:spacing w:after="0" w:line="240" w:lineRule="auto"/>
        <w:jc w:val="both"/>
        <w:rPr>
          <w:rFonts w:ascii="Arial" w:hAnsi="Arial" w:cs="Arial"/>
          <w:sz w:val="20"/>
          <w:szCs w:val="20"/>
        </w:rPr>
      </w:pPr>
      <w:r>
        <w:rPr>
          <w:rFonts w:ascii="Arial" w:hAnsi="Arial" w:cs="Arial"/>
          <w:sz w:val="20"/>
          <w:szCs w:val="20"/>
        </w:rPr>
        <w:tab/>
        <w:t>Industrial</w:t>
      </w:r>
      <w:r>
        <w:rPr>
          <w:rFonts w:ascii="Arial" w:hAnsi="Arial" w:cs="Arial"/>
          <w:sz w:val="20"/>
          <w:szCs w:val="20"/>
        </w:rPr>
        <w:tab/>
      </w:r>
      <w:r>
        <w:rPr>
          <w:rFonts w:ascii="Arial" w:hAnsi="Arial" w:cs="Arial"/>
          <w:sz w:val="20"/>
          <w:szCs w:val="20"/>
        </w:rPr>
        <w:tab/>
      </w:r>
      <w:r>
        <w:rPr>
          <w:rFonts w:ascii="Arial" w:hAnsi="Arial" w:cs="Arial"/>
          <w:sz w:val="20"/>
          <w:szCs w:val="20"/>
        </w:rPr>
        <w:tab/>
        <w:t>4.1% median change</w:t>
      </w:r>
    </w:p>
    <w:p w14:paraId="033CDB04" w14:textId="77777777" w:rsidR="00DB06D4" w:rsidRDefault="00CE235C" w:rsidP="00604354">
      <w:pPr>
        <w:spacing w:after="0" w:line="240" w:lineRule="auto"/>
        <w:jc w:val="both"/>
        <w:rPr>
          <w:rFonts w:ascii="Arial" w:hAnsi="Arial" w:cs="Arial"/>
          <w:sz w:val="20"/>
          <w:szCs w:val="20"/>
        </w:rPr>
      </w:pPr>
      <w:r>
        <w:rPr>
          <w:rFonts w:ascii="Arial" w:hAnsi="Arial" w:cs="Arial"/>
          <w:sz w:val="20"/>
          <w:szCs w:val="20"/>
        </w:rPr>
        <w:tab/>
      </w:r>
      <w:r w:rsidR="00AC5347">
        <w:rPr>
          <w:rFonts w:ascii="Arial" w:hAnsi="Arial" w:cs="Arial"/>
          <w:sz w:val="20"/>
          <w:szCs w:val="20"/>
        </w:rPr>
        <w:t>Vacant/miscellaneous</w:t>
      </w:r>
      <w:r w:rsidR="00037E55">
        <w:rPr>
          <w:rFonts w:ascii="Arial" w:hAnsi="Arial" w:cs="Arial"/>
          <w:sz w:val="20"/>
          <w:szCs w:val="20"/>
        </w:rPr>
        <w:tab/>
      </w:r>
      <w:r w:rsidR="00037E55">
        <w:rPr>
          <w:rFonts w:ascii="Arial" w:hAnsi="Arial" w:cs="Arial"/>
          <w:sz w:val="20"/>
          <w:szCs w:val="20"/>
        </w:rPr>
        <w:tab/>
        <w:t>19.14% median change</w:t>
      </w:r>
    </w:p>
    <w:p w14:paraId="1A3A3642" w14:textId="77777777" w:rsidR="005541EE" w:rsidRDefault="005541EE" w:rsidP="00604354">
      <w:pPr>
        <w:spacing w:after="0" w:line="240" w:lineRule="auto"/>
        <w:jc w:val="both"/>
        <w:rPr>
          <w:rFonts w:ascii="Arial" w:hAnsi="Arial" w:cs="Arial"/>
          <w:sz w:val="20"/>
          <w:szCs w:val="20"/>
        </w:rPr>
      </w:pPr>
    </w:p>
    <w:p w14:paraId="14F2E465" w14:textId="3AD3FDA4" w:rsidR="00D9076B" w:rsidRDefault="00ED6FCB" w:rsidP="00604354">
      <w:pPr>
        <w:spacing w:after="0" w:line="240" w:lineRule="auto"/>
        <w:jc w:val="both"/>
        <w:rPr>
          <w:rFonts w:ascii="Arial" w:hAnsi="Arial" w:cs="Arial"/>
          <w:sz w:val="20"/>
          <w:szCs w:val="20"/>
        </w:rPr>
      </w:pPr>
      <w:r>
        <w:rPr>
          <w:rFonts w:ascii="Arial" w:hAnsi="Arial" w:cs="Arial"/>
          <w:sz w:val="20"/>
          <w:szCs w:val="20"/>
        </w:rPr>
        <w:t>Even though the GRV Residential category had</w:t>
      </w:r>
      <w:r w:rsidR="00393D55">
        <w:rPr>
          <w:rFonts w:ascii="Arial" w:hAnsi="Arial" w:cs="Arial"/>
          <w:sz w:val="20"/>
          <w:szCs w:val="20"/>
        </w:rPr>
        <w:t xml:space="preserve"> a 36% median change, </w:t>
      </w:r>
      <w:r w:rsidR="00D87E1A">
        <w:rPr>
          <w:rFonts w:ascii="Arial" w:hAnsi="Arial" w:cs="Arial"/>
          <w:sz w:val="20"/>
          <w:szCs w:val="20"/>
        </w:rPr>
        <w:t>particular</w:t>
      </w:r>
      <w:r w:rsidR="00393D55">
        <w:rPr>
          <w:rFonts w:ascii="Arial" w:hAnsi="Arial" w:cs="Arial"/>
          <w:sz w:val="20"/>
          <w:szCs w:val="20"/>
        </w:rPr>
        <w:t xml:space="preserve"> </w:t>
      </w:r>
      <w:r w:rsidR="006449EE">
        <w:rPr>
          <w:rFonts w:ascii="Arial" w:hAnsi="Arial" w:cs="Arial"/>
          <w:sz w:val="20"/>
          <w:szCs w:val="20"/>
        </w:rPr>
        <w:t xml:space="preserve">suburbs </w:t>
      </w:r>
      <w:r w:rsidR="00C24485">
        <w:rPr>
          <w:rFonts w:ascii="Arial" w:hAnsi="Arial" w:cs="Arial"/>
          <w:sz w:val="20"/>
          <w:szCs w:val="20"/>
        </w:rPr>
        <w:t>have a</w:t>
      </w:r>
      <w:r w:rsidR="006449EE">
        <w:rPr>
          <w:rFonts w:ascii="Arial" w:hAnsi="Arial" w:cs="Arial"/>
          <w:sz w:val="20"/>
          <w:szCs w:val="20"/>
        </w:rPr>
        <w:t xml:space="preserve"> spread </w:t>
      </w:r>
      <w:r w:rsidR="000F6963">
        <w:rPr>
          <w:rFonts w:ascii="Arial" w:hAnsi="Arial" w:cs="Arial"/>
          <w:sz w:val="20"/>
          <w:szCs w:val="20"/>
        </w:rPr>
        <w:t xml:space="preserve">of revaluation changes </w:t>
      </w:r>
      <w:r w:rsidR="006449EE">
        <w:rPr>
          <w:rFonts w:ascii="Arial" w:hAnsi="Arial" w:cs="Arial"/>
          <w:sz w:val="20"/>
          <w:szCs w:val="20"/>
        </w:rPr>
        <w:t xml:space="preserve">from -20% to +30%. </w:t>
      </w:r>
      <w:r w:rsidR="00DB06D4">
        <w:rPr>
          <w:rFonts w:ascii="Arial" w:hAnsi="Arial" w:cs="Arial"/>
          <w:sz w:val="20"/>
          <w:szCs w:val="20"/>
        </w:rPr>
        <w:t>To produce similar rate yields</w:t>
      </w:r>
      <w:r w:rsidR="00AC37D1">
        <w:rPr>
          <w:rFonts w:ascii="Arial" w:hAnsi="Arial" w:cs="Arial"/>
          <w:sz w:val="20"/>
          <w:szCs w:val="20"/>
        </w:rPr>
        <w:t>,</w:t>
      </w:r>
      <w:r w:rsidR="00DB06D4">
        <w:rPr>
          <w:rFonts w:ascii="Arial" w:hAnsi="Arial" w:cs="Arial"/>
          <w:sz w:val="20"/>
          <w:szCs w:val="20"/>
        </w:rPr>
        <w:t xml:space="preserve"> the </w:t>
      </w:r>
      <w:r w:rsidR="00532F08">
        <w:rPr>
          <w:rFonts w:ascii="Arial" w:hAnsi="Arial" w:cs="Arial"/>
          <w:sz w:val="20"/>
          <w:szCs w:val="20"/>
        </w:rPr>
        <w:t xml:space="preserve">rate in the dollar is re-calculated to compensate for the </w:t>
      </w:r>
      <w:r w:rsidR="00DB06D4">
        <w:rPr>
          <w:rFonts w:ascii="Arial" w:hAnsi="Arial" w:cs="Arial"/>
          <w:sz w:val="20"/>
          <w:szCs w:val="20"/>
        </w:rPr>
        <w:t>increases to the Gross Rental Values</w:t>
      </w:r>
      <w:r w:rsidR="00532F08">
        <w:rPr>
          <w:rFonts w:ascii="Arial" w:hAnsi="Arial" w:cs="Arial"/>
          <w:sz w:val="20"/>
          <w:szCs w:val="20"/>
        </w:rPr>
        <w:t>.</w:t>
      </w:r>
    </w:p>
    <w:p w14:paraId="21F3DE5C" w14:textId="508838AB" w:rsidR="00604354" w:rsidRPr="00633BBE" w:rsidRDefault="00DB06D4" w:rsidP="00604354">
      <w:pPr>
        <w:spacing w:after="0" w:line="240" w:lineRule="auto"/>
        <w:jc w:val="both"/>
        <w:rPr>
          <w:rFonts w:ascii="Arial" w:hAnsi="Arial" w:cs="Arial"/>
          <w:sz w:val="20"/>
          <w:szCs w:val="20"/>
        </w:rPr>
      </w:pPr>
      <w:r>
        <w:rPr>
          <w:rFonts w:ascii="Arial" w:hAnsi="Arial" w:cs="Arial"/>
          <w:sz w:val="20"/>
          <w:szCs w:val="20"/>
        </w:rPr>
        <w:t xml:space="preserve"> </w:t>
      </w:r>
      <w:r w:rsidR="00F06912">
        <w:rPr>
          <w:rFonts w:ascii="Arial" w:hAnsi="Arial" w:cs="Arial"/>
          <w:sz w:val="20"/>
          <w:szCs w:val="20"/>
        </w:rPr>
        <w:tab/>
      </w:r>
      <w:r w:rsidR="00F06912">
        <w:rPr>
          <w:rFonts w:ascii="Arial" w:hAnsi="Arial" w:cs="Arial"/>
          <w:sz w:val="20"/>
          <w:szCs w:val="20"/>
        </w:rPr>
        <w:tab/>
      </w:r>
    </w:p>
    <w:p w14:paraId="23A62958" w14:textId="2ED2D5CE" w:rsidR="00604354" w:rsidRDefault="00604354" w:rsidP="00604354">
      <w:pPr>
        <w:spacing w:after="0" w:line="240" w:lineRule="auto"/>
        <w:jc w:val="both"/>
        <w:rPr>
          <w:rFonts w:ascii="Arial" w:hAnsi="Arial" w:cs="Arial"/>
          <w:sz w:val="20"/>
          <w:szCs w:val="20"/>
        </w:rPr>
      </w:pPr>
      <w:r w:rsidRPr="00633BBE">
        <w:rPr>
          <w:rFonts w:ascii="Arial" w:hAnsi="Arial" w:cs="Arial"/>
          <w:sz w:val="20"/>
          <w:szCs w:val="20"/>
        </w:rPr>
        <w:lastRenderedPageBreak/>
        <w:t>Interim valuations</w:t>
      </w:r>
      <w:r w:rsidR="007A4456" w:rsidRPr="00633BBE">
        <w:rPr>
          <w:rFonts w:ascii="Arial" w:hAnsi="Arial" w:cs="Arial"/>
          <w:sz w:val="20"/>
          <w:szCs w:val="20"/>
        </w:rPr>
        <w:t xml:space="preserve"> are provided </w:t>
      </w:r>
      <w:r w:rsidR="007A4456">
        <w:rPr>
          <w:rFonts w:ascii="Arial" w:hAnsi="Arial" w:cs="Arial"/>
          <w:sz w:val="20"/>
          <w:szCs w:val="20"/>
        </w:rPr>
        <w:t xml:space="preserve">monthly to the </w:t>
      </w:r>
      <w:r w:rsidR="007A4456" w:rsidRPr="007A4456">
        <w:rPr>
          <w:rFonts w:ascii="Arial" w:hAnsi="Arial" w:cs="Arial"/>
          <w:sz w:val="20"/>
          <w:szCs w:val="20"/>
        </w:rPr>
        <w:t>City of Karratha</w:t>
      </w:r>
      <w:r w:rsidRPr="00604354">
        <w:rPr>
          <w:rFonts w:ascii="Arial" w:hAnsi="Arial" w:cs="Arial"/>
          <w:sz w:val="20"/>
          <w:szCs w:val="20"/>
        </w:rPr>
        <w:t xml:space="preserve"> by </w:t>
      </w:r>
      <w:r w:rsidR="00325892">
        <w:rPr>
          <w:rFonts w:ascii="Arial" w:hAnsi="Arial" w:cs="Arial"/>
          <w:sz w:val="20"/>
          <w:szCs w:val="20"/>
        </w:rPr>
        <w:t xml:space="preserve">the Valuer </w:t>
      </w:r>
      <w:r w:rsidRPr="00604354">
        <w:rPr>
          <w:rFonts w:ascii="Arial" w:hAnsi="Arial" w:cs="Arial"/>
          <w:sz w:val="20"/>
          <w:szCs w:val="20"/>
        </w:rPr>
        <w:t xml:space="preserve">General for properties where changes have occurred (i.e. subdivisions or strata title of property, amalgamations, building constructions, demolition, </w:t>
      </w:r>
      <w:r w:rsidR="00CF4006" w:rsidRPr="00604354">
        <w:rPr>
          <w:rFonts w:ascii="Arial" w:hAnsi="Arial" w:cs="Arial"/>
          <w:sz w:val="20"/>
          <w:szCs w:val="20"/>
        </w:rPr>
        <w:t>additions,</w:t>
      </w:r>
      <w:r w:rsidRPr="00604354">
        <w:rPr>
          <w:rFonts w:ascii="Arial" w:hAnsi="Arial" w:cs="Arial"/>
          <w:sz w:val="20"/>
          <w:szCs w:val="20"/>
        </w:rPr>
        <w:t xml:space="preserve"> and/or property rezoning). In such instances Council recalculates the rates for the affected properties and issues interim rates notices</w:t>
      </w:r>
      <w:r w:rsidR="00AC37D1">
        <w:rPr>
          <w:rFonts w:ascii="Arial" w:hAnsi="Arial" w:cs="Arial"/>
          <w:sz w:val="20"/>
          <w:szCs w:val="20"/>
        </w:rPr>
        <w:t xml:space="preserve"> during the financial year</w:t>
      </w:r>
      <w:r w:rsidRPr="00604354">
        <w:rPr>
          <w:rFonts w:ascii="Arial" w:hAnsi="Arial" w:cs="Arial"/>
          <w:sz w:val="20"/>
          <w:szCs w:val="20"/>
        </w:rPr>
        <w:t xml:space="preserve">. </w:t>
      </w:r>
    </w:p>
    <w:p w14:paraId="776ECFBD" w14:textId="712471DB" w:rsidR="0037794B" w:rsidRDefault="0037794B" w:rsidP="00604354">
      <w:pPr>
        <w:spacing w:after="0" w:line="240" w:lineRule="auto"/>
        <w:jc w:val="both"/>
        <w:rPr>
          <w:rFonts w:ascii="Arial" w:hAnsi="Arial" w:cs="Arial"/>
          <w:sz w:val="20"/>
          <w:szCs w:val="20"/>
        </w:rPr>
      </w:pPr>
    </w:p>
    <w:p w14:paraId="0E4B540F" w14:textId="63F012BA" w:rsidR="00604354" w:rsidRDefault="00604354" w:rsidP="00604354">
      <w:pPr>
        <w:spacing w:after="0" w:line="240" w:lineRule="auto"/>
        <w:jc w:val="both"/>
        <w:rPr>
          <w:rFonts w:ascii="Arial" w:hAnsi="Arial" w:cs="Arial"/>
          <w:sz w:val="20"/>
          <w:szCs w:val="20"/>
        </w:rPr>
      </w:pPr>
      <w:r w:rsidRPr="00604354">
        <w:rPr>
          <w:rFonts w:ascii="Arial" w:hAnsi="Arial" w:cs="Arial"/>
          <w:sz w:val="20"/>
          <w:szCs w:val="20"/>
        </w:rPr>
        <w:t>T</w:t>
      </w:r>
      <w:r w:rsidR="00144E1C">
        <w:rPr>
          <w:rFonts w:ascii="Arial" w:hAnsi="Arial" w:cs="Arial"/>
          <w:sz w:val="20"/>
          <w:szCs w:val="20"/>
        </w:rPr>
        <w:t xml:space="preserve">able </w:t>
      </w:r>
      <w:r w:rsidR="000B4380">
        <w:rPr>
          <w:rFonts w:ascii="Arial" w:hAnsi="Arial" w:cs="Arial"/>
          <w:sz w:val="20"/>
          <w:szCs w:val="20"/>
        </w:rPr>
        <w:t>1</w:t>
      </w:r>
      <w:r w:rsidR="00144E1C">
        <w:rPr>
          <w:rFonts w:ascii="Arial" w:hAnsi="Arial" w:cs="Arial"/>
          <w:sz w:val="20"/>
          <w:szCs w:val="20"/>
        </w:rPr>
        <w:t xml:space="preserve"> below summarises the </w:t>
      </w:r>
      <w:r w:rsidR="00952573">
        <w:rPr>
          <w:rFonts w:ascii="Arial" w:hAnsi="Arial" w:cs="Arial"/>
          <w:sz w:val="20"/>
          <w:szCs w:val="20"/>
        </w:rPr>
        <w:t xml:space="preserve">proposed </w:t>
      </w:r>
      <w:r w:rsidR="00144E1C">
        <w:rPr>
          <w:rFonts w:ascii="Arial" w:hAnsi="Arial" w:cs="Arial"/>
          <w:sz w:val="20"/>
          <w:szCs w:val="20"/>
        </w:rPr>
        <w:t>20</w:t>
      </w:r>
      <w:r w:rsidR="00EB6512">
        <w:rPr>
          <w:rFonts w:ascii="Arial" w:hAnsi="Arial" w:cs="Arial"/>
          <w:sz w:val="20"/>
          <w:szCs w:val="20"/>
        </w:rPr>
        <w:t>2</w:t>
      </w:r>
      <w:r w:rsidR="003E5CC9">
        <w:rPr>
          <w:rFonts w:ascii="Arial" w:hAnsi="Arial" w:cs="Arial"/>
          <w:sz w:val="20"/>
          <w:szCs w:val="20"/>
        </w:rPr>
        <w:t>5</w:t>
      </w:r>
      <w:r w:rsidR="00EB6512">
        <w:rPr>
          <w:rFonts w:ascii="Arial" w:hAnsi="Arial" w:cs="Arial"/>
          <w:sz w:val="20"/>
          <w:szCs w:val="20"/>
        </w:rPr>
        <w:t>/2</w:t>
      </w:r>
      <w:r w:rsidR="003E5CC9">
        <w:rPr>
          <w:rFonts w:ascii="Arial" w:hAnsi="Arial" w:cs="Arial"/>
          <w:sz w:val="20"/>
          <w:szCs w:val="20"/>
        </w:rPr>
        <w:t>6</w:t>
      </w:r>
      <w:r w:rsidRPr="00604354">
        <w:rPr>
          <w:rFonts w:ascii="Arial" w:hAnsi="Arial" w:cs="Arial"/>
          <w:sz w:val="20"/>
          <w:szCs w:val="20"/>
        </w:rPr>
        <w:t xml:space="preserve"> minimum payments and rates in the dollar for GRV:</w:t>
      </w:r>
    </w:p>
    <w:tbl>
      <w:tblPr>
        <w:tblStyle w:val="TableGrid"/>
        <w:tblW w:w="9170" w:type="dxa"/>
        <w:jc w:val="center"/>
        <w:tblLayout w:type="fixed"/>
        <w:tblLook w:val="04A0" w:firstRow="1" w:lastRow="0" w:firstColumn="1" w:lastColumn="0" w:noHBand="0" w:noVBand="1"/>
      </w:tblPr>
      <w:tblGrid>
        <w:gridCol w:w="3539"/>
        <w:gridCol w:w="1407"/>
        <w:gridCol w:w="1408"/>
        <w:gridCol w:w="1408"/>
        <w:gridCol w:w="1408"/>
      </w:tblGrid>
      <w:tr w:rsidR="003303A9" w:rsidRPr="00604354" w14:paraId="79E0858C" w14:textId="77777777" w:rsidTr="00DF75A5">
        <w:trPr>
          <w:jc w:val="center"/>
        </w:trPr>
        <w:tc>
          <w:tcPr>
            <w:tcW w:w="9170" w:type="dxa"/>
            <w:gridSpan w:val="5"/>
            <w:shd w:val="clear" w:color="auto" w:fill="808080" w:themeFill="background1" w:themeFillShade="80"/>
          </w:tcPr>
          <w:p w14:paraId="65E0BDDC" w14:textId="20631B10" w:rsidR="003303A9" w:rsidRPr="00604354" w:rsidRDefault="00EB6512" w:rsidP="003303A9">
            <w:pPr>
              <w:spacing w:before="60" w:after="60"/>
              <w:jc w:val="center"/>
              <w:rPr>
                <w:rFonts w:ascii="Arial" w:hAnsi="Arial" w:cs="Arial"/>
                <w:b/>
                <w:sz w:val="20"/>
                <w:szCs w:val="20"/>
              </w:rPr>
            </w:pPr>
            <w:r>
              <w:rPr>
                <w:rFonts w:ascii="Arial" w:hAnsi="Arial" w:cs="Arial"/>
                <w:b/>
                <w:color w:val="FFFFFF" w:themeColor="background1"/>
                <w:sz w:val="20"/>
                <w:szCs w:val="20"/>
              </w:rPr>
              <w:t xml:space="preserve">Differential Rates </w:t>
            </w:r>
            <w:r w:rsidR="00C01E0B">
              <w:rPr>
                <w:rFonts w:ascii="Arial" w:hAnsi="Arial" w:cs="Arial"/>
                <w:b/>
                <w:color w:val="FFFFFF" w:themeColor="background1"/>
                <w:sz w:val="20"/>
                <w:szCs w:val="20"/>
              </w:rPr>
              <w:t>202</w:t>
            </w:r>
            <w:r w:rsidR="00852FE5">
              <w:rPr>
                <w:rFonts w:ascii="Arial" w:hAnsi="Arial" w:cs="Arial"/>
                <w:b/>
                <w:color w:val="FFFFFF" w:themeColor="background1"/>
                <w:sz w:val="20"/>
                <w:szCs w:val="20"/>
              </w:rPr>
              <w:t>5</w:t>
            </w:r>
            <w:r w:rsidR="00C01E0B">
              <w:rPr>
                <w:rFonts w:ascii="Arial" w:hAnsi="Arial" w:cs="Arial"/>
                <w:b/>
                <w:color w:val="FFFFFF" w:themeColor="background1"/>
                <w:sz w:val="20"/>
                <w:szCs w:val="20"/>
              </w:rPr>
              <w:t>/2</w:t>
            </w:r>
            <w:r w:rsidR="00852FE5">
              <w:rPr>
                <w:rFonts w:ascii="Arial" w:hAnsi="Arial" w:cs="Arial"/>
                <w:b/>
                <w:color w:val="FFFFFF" w:themeColor="background1"/>
                <w:sz w:val="20"/>
                <w:szCs w:val="20"/>
              </w:rPr>
              <w:t>6</w:t>
            </w:r>
          </w:p>
        </w:tc>
      </w:tr>
      <w:tr w:rsidR="003303A9" w:rsidRPr="009671B4" w14:paraId="055A3725" w14:textId="77777777" w:rsidTr="00DF75A5">
        <w:trPr>
          <w:trHeight w:val="606"/>
          <w:jc w:val="center"/>
        </w:trPr>
        <w:tc>
          <w:tcPr>
            <w:tcW w:w="3539" w:type="dxa"/>
            <w:shd w:val="clear" w:color="auto" w:fill="F2F2F2" w:themeFill="background1" w:themeFillShade="F2"/>
            <w:vAlign w:val="center"/>
          </w:tcPr>
          <w:p w14:paraId="357049E4" w14:textId="77777777" w:rsidR="003303A9" w:rsidRPr="00F82FD7" w:rsidRDefault="003303A9" w:rsidP="00DF75A5">
            <w:pPr>
              <w:jc w:val="center"/>
              <w:rPr>
                <w:rFonts w:ascii="Arial" w:hAnsi="Arial" w:cs="Arial"/>
                <w:b/>
                <w:sz w:val="20"/>
                <w:szCs w:val="20"/>
              </w:rPr>
            </w:pPr>
            <w:r w:rsidRPr="00F82FD7">
              <w:rPr>
                <w:sz w:val="20"/>
                <w:szCs w:val="20"/>
              </w:rPr>
              <w:br w:type="page"/>
            </w:r>
            <w:r w:rsidRPr="00F82FD7">
              <w:rPr>
                <w:rFonts w:ascii="Arial" w:hAnsi="Arial" w:cs="Arial"/>
                <w:b/>
                <w:sz w:val="20"/>
                <w:szCs w:val="20"/>
              </w:rPr>
              <w:t>Category</w:t>
            </w:r>
          </w:p>
        </w:tc>
        <w:tc>
          <w:tcPr>
            <w:tcW w:w="1407" w:type="dxa"/>
            <w:tcBorders>
              <w:bottom w:val="single" w:sz="4" w:space="0" w:color="auto"/>
            </w:tcBorders>
            <w:shd w:val="clear" w:color="auto" w:fill="F2F2F2" w:themeFill="background1" w:themeFillShade="F2"/>
            <w:vAlign w:val="center"/>
          </w:tcPr>
          <w:p w14:paraId="2FCF7763" w14:textId="77777777" w:rsidR="003303A9" w:rsidRPr="00F82FD7" w:rsidRDefault="003303A9" w:rsidP="00DF75A5">
            <w:pPr>
              <w:jc w:val="center"/>
              <w:rPr>
                <w:rFonts w:ascii="Arial" w:hAnsi="Arial" w:cs="Arial"/>
                <w:b/>
                <w:sz w:val="20"/>
                <w:szCs w:val="20"/>
              </w:rPr>
            </w:pPr>
            <w:r w:rsidRPr="00F82FD7">
              <w:rPr>
                <w:rFonts w:ascii="Arial" w:hAnsi="Arial" w:cs="Arial"/>
                <w:b/>
                <w:sz w:val="20"/>
                <w:szCs w:val="20"/>
              </w:rPr>
              <w:t>Proposed Minimum Payment</w:t>
            </w:r>
          </w:p>
        </w:tc>
        <w:tc>
          <w:tcPr>
            <w:tcW w:w="1408" w:type="dxa"/>
            <w:tcBorders>
              <w:bottom w:val="single" w:sz="4" w:space="0" w:color="auto"/>
            </w:tcBorders>
            <w:shd w:val="clear" w:color="auto" w:fill="F2F2F2" w:themeFill="background1" w:themeFillShade="F2"/>
            <w:vAlign w:val="center"/>
          </w:tcPr>
          <w:p w14:paraId="4523D659" w14:textId="77777777" w:rsidR="003303A9" w:rsidRPr="00F82FD7" w:rsidRDefault="003303A9" w:rsidP="00DF75A5">
            <w:pPr>
              <w:jc w:val="center"/>
              <w:rPr>
                <w:rFonts w:ascii="Arial" w:hAnsi="Arial" w:cs="Arial"/>
                <w:b/>
                <w:sz w:val="20"/>
                <w:szCs w:val="20"/>
              </w:rPr>
            </w:pPr>
            <w:r w:rsidRPr="00F82FD7">
              <w:rPr>
                <w:rFonts w:ascii="Arial" w:hAnsi="Arial" w:cs="Arial"/>
                <w:b/>
                <w:sz w:val="20"/>
                <w:szCs w:val="20"/>
              </w:rPr>
              <w:t xml:space="preserve">Proposed Rate </w:t>
            </w:r>
          </w:p>
          <w:p w14:paraId="0AE2F5D1" w14:textId="77777777" w:rsidR="003303A9" w:rsidRPr="00F82FD7" w:rsidRDefault="003303A9" w:rsidP="00DF75A5">
            <w:pPr>
              <w:jc w:val="center"/>
              <w:rPr>
                <w:rFonts w:ascii="Arial" w:hAnsi="Arial" w:cs="Arial"/>
                <w:b/>
                <w:sz w:val="20"/>
                <w:szCs w:val="20"/>
              </w:rPr>
            </w:pPr>
            <w:r w:rsidRPr="00F82FD7">
              <w:rPr>
                <w:rFonts w:ascii="Arial" w:hAnsi="Arial" w:cs="Arial"/>
                <w:b/>
                <w:sz w:val="20"/>
                <w:szCs w:val="20"/>
              </w:rPr>
              <w:t>in the Dollar</w:t>
            </w:r>
          </w:p>
        </w:tc>
        <w:tc>
          <w:tcPr>
            <w:tcW w:w="1408" w:type="dxa"/>
            <w:tcBorders>
              <w:bottom w:val="single" w:sz="4" w:space="0" w:color="auto"/>
            </w:tcBorders>
            <w:shd w:val="clear" w:color="auto" w:fill="F2F2F2" w:themeFill="background1" w:themeFillShade="F2"/>
            <w:vAlign w:val="center"/>
          </w:tcPr>
          <w:p w14:paraId="3FFD1277" w14:textId="77777777" w:rsidR="003303A9" w:rsidRPr="00F82FD7" w:rsidRDefault="003303A9" w:rsidP="00DF75A5">
            <w:pPr>
              <w:jc w:val="center"/>
              <w:rPr>
                <w:rFonts w:ascii="Arial" w:hAnsi="Arial" w:cs="Arial"/>
                <w:b/>
                <w:sz w:val="20"/>
                <w:szCs w:val="20"/>
              </w:rPr>
            </w:pPr>
            <w:r w:rsidRPr="00F82FD7">
              <w:rPr>
                <w:rFonts w:ascii="Arial" w:hAnsi="Arial" w:cs="Arial"/>
                <w:b/>
                <w:sz w:val="20"/>
                <w:szCs w:val="20"/>
              </w:rPr>
              <w:t>Proposed Average Rate per Property</w:t>
            </w:r>
          </w:p>
        </w:tc>
        <w:tc>
          <w:tcPr>
            <w:tcW w:w="1408" w:type="dxa"/>
            <w:tcBorders>
              <w:bottom w:val="single" w:sz="4" w:space="0" w:color="auto"/>
            </w:tcBorders>
            <w:shd w:val="clear" w:color="auto" w:fill="F2F2F2" w:themeFill="background1" w:themeFillShade="F2"/>
            <w:vAlign w:val="center"/>
          </w:tcPr>
          <w:p w14:paraId="6ABA3A44" w14:textId="5496CBF7" w:rsidR="003303A9" w:rsidRPr="00F82FD7" w:rsidRDefault="003303A9" w:rsidP="00DF75A5">
            <w:pPr>
              <w:jc w:val="center"/>
              <w:rPr>
                <w:rFonts w:ascii="Arial" w:hAnsi="Arial" w:cs="Arial"/>
                <w:b/>
                <w:sz w:val="20"/>
                <w:szCs w:val="20"/>
              </w:rPr>
            </w:pPr>
            <w:r w:rsidRPr="00F82FD7">
              <w:rPr>
                <w:rFonts w:ascii="Arial" w:hAnsi="Arial" w:cs="Arial"/>
                <w:b/>
                <w:sz w:val="20"/>
                <w:szCs w:val="20"/>
              </w:rPr>
              <w:t>Change in Average Rate</w:t>
            </w:r>
            <w:r w:rsidR="00EE0355">
              <w:rPr>
                <w:rFonts w:ascii="Arial" w:hAnsi="Arial" w:cs="Arial"/>
                <w:b/>
                <w:sz w:val="20"/>
                <w:szCs w:val="20"/>
              </w:rPr>
              <w:t xml:space="preserve"> </w:t>
            </w:r>
          </w:p>
        </w:tc>
      </w:tr>
      <w:tr w:rsidR="003303A9" w:rsidRPr="009671B4" w14:paraId="1D17826A" w14:textId="77777777" w:rsidTr="00DF75A5">
        <w:trPr>
          <w:trHeight w:val="80"/>
          <w:jc w:val="center"/>
        </w:trPr>
        <w:tc>
          <w:tcPr>
            <w:tcW w:w="3539" w:type="dxa"/>
            <w:tcBorders>
              <w:top w:val="nil"/>
              <w:right w:val="single" w:sz="4" w:space="0" w:color="auto"/>
            </w:tcBorders>
            <w:vAlign w:val="bottom"/>
          </w:tcPr>
          <w:p w14:paraId="71024441" w14:textId="77777777" w:rsidR="003303A9" w:rsidRPr="00F82FD7" w:rsidRDefault="003303A9" w:rsidP="00DF75A5">
            <w:pPr>
              <w:rPr>
                <w:rFonts w:ascii="Arial" w:hAnsi="Arial" w:cs="Arial"/>
                <w:b/>
                <w:sz w:val="20"/>
                <w:szCs w:val="20"/>
              </w:rPr>
            </w:pPr>
            <w:r w:rsidRPr="00F82FD7">
              <w:rPr>
                <w:rFonts w:ascii="Arial" w:hAnsi="Arial" w:cs="Arial"/>
                <w:b/>
                <w:sz w:val="20"/>
                <w:szCs w:val="20"/>
              </w:rPr>
              <w:t>Gross Rental Value</w:t>
            </w:r>
          </w:p>
        </w:tc>
        <w:tc>
          <w:tcPr>
            <w:tcW w:w="1407" w:type="dxa"/>
            <w:tcBorders>
              <w:top w:val="single" w:sz="4" w:space="0" w:color="auto"/>
              <w:left w:val="single" w:sz="4" w:space="0" w:color="auto"/>
              <w:right w:val="single" w:sz="4" w:space="0" w:color="auto"/>
            </w:tcBorders>
            <w:vAlign w:val="bottom"/>
          </w:tcPr>
          <w:p w14:paraId="7F016C31" w14:textId="77777777" w:rsidR="003303A9" w:rsidRPr="00F82FD7" w:rsidRDefault="003303A9" w:rsidP="00DF75A5">
            <w:pPr>
              <w:jc w:val="center"/>
              <w:rPr>
                <w:rFonts w:ascii="Arial" w:hAnsi="Arial" w:cs="Arial"/>
                <w:b/>
                <w:sz w:val="20"/>
                <w:szCs w:val="20"/>
              </w:rPr>
            </w:pPr>
            <w:r w:rsidRPr="00F82FD7">
              <w:rPr>
                <w:rFonts w:ascii="Arial" w:hAnsi="Arial" w:cs="Arial"/>
                <w:b/>
                <w:sz w:val="20"/>
                <w:szCs w:val="20"/>
              </w:rPr>
              <w:t>$</w:t>
            </w:r>
          </w:p>
        </w:tc>
        <w:tc>
          <w:tcPr>
            <w:tcW w:w="1408" w:type="dxa"/>
            <w:tcBorders>
              <w:top w:val="single" w:sz="4" w:space="0" w:color="auto"/>
              <w:left w:val="single" w:sz="4" w:space="0" w:color="auto"/>
              <w:right w:val="single" w:sz="4" w:space="0" w:color="auto"/>
            </w:tcBorders>
            <w:vAlign w:val="bottom"/>
          </w:tcPr>
          <w:p w14:paraId="74A09A4B" w14:textId="77777777" w:rsidR="003303A9" w:rsidRPr="00F82FD7" w:rsidRDefault="003303A9" w:rsidP="00DF75A5">
            <w:pPr>
              <w:jc w:val="center"/>
              <w:rPr>
                <w:rFonts w:ascii="Arial" w:hAnsi="Arial" w:cs="Arial"/>
                <w:b/>
                <w:sz w:val="20"/>
                <w:szCs w:val="20"/>
              </w:rPr>
            </w:pPr>
            <w:r w:rsidRPr="00F82FD7">
              <w:rPr>
                <w:rFonts w:ascii="Arial" w:hAnsi="Arial" w:cs="Arial"/>
                <w:b/>
                <w:sz w:val="20"/>
                <w:szCs w:val="20"/>
              </w:rPr>
              <w:t>$</w:t>
            </w:r>
          </w:p>
        </w:tc>
        <w:tc>
          <w:tcPr>
            <w:tcW w:w="1408" w:type="dxa"/>
            <w:tcBorders>
              <w:top w:val="single" w:sz="4" w:space="0" w:color="auto"/>
              <w:left w:val="single" w:sz="4" w:space="0" w:color="auto"/>
              <w:right w:val="single" w:sz="4" w:space="0" w:color="auto"/>
            </w:tcBorders>
            <w:shd w:val="clear" w:color="auto" w:fill="auto"/>
            <w:vAlign w:val="bottom"/>
          </w:tcPr>
          <w:p w14:paraId="504C313F" w14:textId="77777777" w:rsidR="003303A9" w:rsidRPr="00F82FD7" w:rsidRDefault="003303A9" w:rsidP="00DF75A5">
            <w:pPr>
              <w:jc w:val="center"/>
              <w:rPr>
                <w:rFonts w:ascii="Arial" w:hAnsi="Arial" w:cs="Arial"/>
                <w:b/>
                <w:sz w:val="20"/>
                <w:szCs w:val="20"/>
              </w:rPr>
            </w:pPr>
            <w:r w:rsidRPr="00F82FD7">
              <w:rPr>
                <w:rFonts w:ascii="Arial" w:hAnsi="Arial" w:cs="Arial"/>
                <w:b/>
                <w:sz w:val="20"/>
                <w:szCs w:val="20"/>
              </w:rPr>
              <w:t>$</w:t>
            </w:r>
          </w:p>
        </w:tc>
        <w:tc>
          <w:tcPr>
            <w:tcW w:w="1408" w:type="dxa"/>
            <w:tcBorders>
              <w:top w:val="single" w:sz="4" w:space="0" w:color="auto"/>
              <w:left w:val="single" w:sz="4" w:space="0" w:color="auto"/>
            </w:tcBorders>
            <w:shd w:val="clear" w:color="auto" w:fill="auto"/>
            <w:vAlign w:val="bottom"/>
          </w:tcPr>
          <w:p w14:paraId="160A1D6C" w14:textId="77777777" w:rsidR="003303A9" w:rsidRPr="00007B72" w:rsidRDefault="003303A9" w:rsidP="00DF75A5">
            <w:pPr>
              <w:jc w:val="center"/>
              <w:rPr>
                <w:rFonts w:ascii="Arial" w:hAnsi="Arial" w:cs="Arial"/>
                <w:b/>
                <w:sz w:val="20"/>
                <w:szCs w:val="20"/>
              </w:rPr>
            </w:pPr>
            <w:r w:rsidRPr="00007B72">
              <w:rPr>
                <w:rFonts w:ascii="Arial" w:hAnsi="Arial" w:cs="Arial"/>
                <w:b/>
                <w:sz w:val="20"/>
                <w:szCs w:val="20"/>
              </w:rPr>
              <w:t>%</w:t>
            </w:r>
          </w:p>
        </w:tc>
      </w:tr>
      <w:tr w:rsidR="007A4456" w:rsidRPr="009671B4" w14:paraId="35BDDBD2" w14:textId="77777777" w:rsidTr="004C4712">
        <w:trPr>
          <w:jc w:val="center"/>
        </w:trPr>
        <w:tc>
          <w:tcPr>
            <w:tcW w:w="3539" w:type="dxa"/>
            <w:vAlign w:val="bottom"/>
          </w:tcPr>
          <w:p w14:paraId="29F2EF9B" w14:textId="77777777" w:rsidR="007A4456" w:rsidRPr="00F82FD7" w:rsidRDefault="007A4456" w:rsidP="007A4456">
            <w:pPr>
              <w:rPr>
                <w:rFonts w:ascii="Arial" w:hAnsi="Arial" w:cs="Arial"/>
                <w:sz w:val="20"/>
                <w:szCs w:val="20"/>
              </w:rPr>
            </w:pPr>
            <w:r w:rsidRPr="00F82FD7">
              <w:rPr>
                <w:rFonts w:ascii="Arial" w:hAnsi="Arial" w:cs="Arial"/>
                <w:sz w:val="20"/>
                <w:szCs w:val="20"/>
              </w:rPr>
              <w:t>Residential</w:t>
            </w:r>
          </w:p>
        </w:tc>
        <w:tc>
          <w:tcPr>
            <w:tcW w:w="1407" w:type="dxa"/>
            <w:vAlign w:val="center"/>
          </w:tcPr>
          <w:p w14:paraId="67DED1A4" w14:textId="4AB2E242" w:rsidR="007A4456" w:rsidRPr="000279C3" w:rsidRDefault="006354A0" w:rsidP="004C4712">
            <w:pPr>
              <w:ind w:right="309"/>
              <w:jc w:val="right"/>
              <w:rPr>
                <w:rFonts w:ascii="Arial" w:hAnsi="Arial" w:cs="Arial"/>
                <w:sz w:val="20"/>
                <w:szCs w:val="20"/>
              </w:rPr>
            </w:pPr>
            <w:r w:rsidRPr="000279C3">
              <w:rPr>
                <w:rFonts w:ascii="Arial" w:hAnsi="Arial" w:cs="Arial"/>
                <w:bCs/>
                <w:color w:val="000000"/>
                <w:sz w:val="20"/>
                <w:szCs w:val="20"/>
              </w:rPr>
              <w:t>1,</w:t>
            </w:r>
            <w:r w:rsidR="00C24FD3" w:rsidRPr="000279C3">
              <w:rPr>
                <w:rFonts w:ascii="Arial" w:hAnsi="Arial" w:cs="Arial"/>
                <w:bCs/>
                <w:color w:val="000000"/>
                <w:sz w:val="20"/>
                <w:szCs w:val="20"/>
              </w:rPr>
              <w:t>7</w:t>
            </w:r>
            <w:r w:rsidR="00D9076B" w:rsidRPr="000279C3">
              <w:rPr>
                <w:rFonts w:ascii="Arial" w:hAnsi="Arial" w:cs="Arial"/>
                <w:bCs/>
                <w:color w:val="000000"/>
                <w:sz w:val="20"/>
                <w:szCs w:val="20"/>
              </w:rPr>
              <w:t>50</w:t>
            </w:r>
          </w:p>
        </w:tc>
        <w:tc>
          <w:tcPr>
            <w:tcW w:w="1408" w:type="dxa"/>
            <w:vAlign w:val="center"/>
          </w:tcPr>
          <w:p w14:paraId="6A1D7397" w14:textId="0349D496" w:rsidR="007A4456" w:rsidRPr="004A2E2A" w:rsidRDefault="006354A0" w:rsidP="004C4712">
            <w:pPr>
              <w:ind w:right="159"/>
              <w:jc w:val="right"/>
              <w:rPr>
                <w:rFonts w:ascii="Arial" w:hAnsi="Arial" w:cs="Arial"/>
                <w:sz w:val="20"/>
                <w:szCs w:val="20"/>
              </w:rPr>
            </w:pPr>
            <w:r w:rsidRPr="004A2E2A">
              <w:rPr>
                <w:rFonts w:ascii="Arial" w:hAnsi="Arial" w:cs="Arial"/>
                <w:sz w:val="20"/>
                <w:szCs w:val="20"/>
              </w:rPr>
              <w:t>0.0</w:t>
            </w:r>
            <w:r w:rsidR="008B7EED" w:rsidRPr="004A2E2A">
              <w:rPr>
                <w:rFonts w:ascii="Arial" w:hAnsi="Arial" w:cs="Arial"/>
                <w:sz w:val="20"/>
                <w:szCs w:val="20"/>
              </w:rPr>
              <w:t>55795</w:t>
            </w:r>
          </w:p>
        </w:tc>
        <w:tc>
          <w:tcPr>
            <w:tcW w:w="1408" w:type="dxa"/>
            <w:shd w:val="clear" w:color="auto" w:fill="auto"/>
            <w:vAlign w:val="center"/>
          </w:tcPr>
          <w:p w14:paraId="06E86118" w14:textId="763AAFC7" w:rsidR="007A4456" w:rsidRPr="004A2E2A" w:rsidRDefault="006354A0" w:rsidP="004C4712">
            <w:pPr>
              <w:ind w:right="294"/>
              <w:jc w:val="right"/>
              <w:rPr>
                <w:rFonts w:ascii="Arial" w:hAnsi="Arial" w:cs="Arial"/>
                <w:bCs/>
                <w:color w:val="000000"/>
                <w:sz w:val="20"/>
                <w:szCs w:val="20"/>
              </w:rPr>
            </w:pPr>
            <w:r w:rsidRPr="004A2E2A">
              <w:rPr>
                <w:rFonts w:ascii="Arial" w:hAnsi="Arial" w:cs="Arial"/>
                <w:bCs/>
                <w:color w:val="000000"/>
                <w:sz w:val="20"/>
                <w:szCs w:val="20"/>
              </w:rPr>
              <w:t>2</w:t>
            </w:r>
            <w:r w:rsidR="003C433B" w:rsidRPr="004A2E2A">
              <w:rPr>
                <w:rFonts w:ascii="Arial" w:hAnsi="Arial" w:cs="Arial"/>
                <w:bCs/>
                <w:color w:val="000000"/>
                <w:sz w:val="20"/>
                <w:szCs w:val="20"/>
              </w:rPr>
              <w:t>,</w:t>
            </w:r>
            <w:r w:rsidR="00680C74" w:rsidRPr="004A2E2A">
              <w:rPr>
                <w:rFonts w:ascii="Arial" w:hAnsi="Arial" w:cs="Arial"/>
                <w:bCs/>
                <w:color w:val="000000"/>
                <w:sz w:val="20"/>
                <w:szCs w:val="20"/>
              </w:rPr>
              <w:t>530</w:t>
            </w:r>
          </w:p>
        </w:tc>
        <w:tc>
          <w:tcPr>
            <w:tcW w:w="1408" w:type="dxa"/>
            <w:shd w:val="clear" w:color="auto" w:fill="auto"/>
            <w:vAlign w:val="center"/>
          </w:tcPr>
          <w:p w14:paraId="1BE18527" w14:textId="70D8BAFC" w:rsidR="007A4456" w:rsidRPr="004A2E2A" w:rsidRDefault="00863E2B" w:rsidP="004C4712">
            <w:pPr>
              <w:jc w:val="right"/>
              <w:rPr>
                <w:rFonts w:ascii="Arial" w:hAnsi="Arial" w:cs="Arial"/>
                <w:sz w:val="20"/>
                <w:szCs w:val="20"/>
              </w:rPr>
            </w:pPr>
            <w:r w:rsidRPr="004A2E2A">
              <w:rPr>
                <w:rFonts w:ascii="Arial" w:hAnsi="Arial" w:cs="Arial"/>
                <w:sz w:val="20"/>
                <w:szCs w:val="20"/>
              </w:rPr>
              <w:t>0.0</w:t>
            </w:r>
          </w:p>
        </w:tc>
      </w:tr>
      <w:tr w:rsidR="004C4712" w:rsidRPr="009671B4" w14:paraId="027862BD" w14:textId="77777777" w:rsidTr="004C4712">
        <w:trPr>
          <w:jc w:val="center"/>
        </w:trPr>
        <w:tc>
          <w:tcPr>
            <w:tcW w:w="3539" w:type="dxa"/>
            <w:vAlign w:val="bottom"/>
          </w:tcPr>
          <w:p w14:paraId="4FA6D909" w14:textId="7E885A5D" w:rsidR="004C4712" w:rsidRPr="00F82FD7" w:rsidRDefault="004C4712" w:rsidP="004C4712">
            <w:pPr>
              <w:rPr>
                <w:rFonts w:ascii="Arial" w:hAnsi="Arial" w:cs="Arial"/>
                <w:color w:val="000000"/>
                <w:sz w:val="20"/>
                <w:szCs w:val="20"/>
              </w:rPr>
            </w:pPr>
            <w:r w:rsidRPr="00F82FD7">
              <w:rPr>
                <w:rFonts w:ascii="Arial" w:hAnsi="Arial" w:cs="Arial"/>
                <w:color w:val="000000"/>
                <w:sz w:val="20"/>
                <w:szCs w:val="20"/>
              </w:rPr>
              <w:t>Commercial/Industrial</w:t>
            </w:r>
          </w:p>
        </w:tc>
        <w:tc>
          <w:tcPr>
            <w:tcW w:w="1407" w:type="dxa"/>
            <w:vAlign w:val="center"/>
          </w:tcPr>
          <w:p w14:paraId="4EE10EA0" w14:textId="0B29F893" w:rsidR="004C4712" w:rsidRPr="000279C3" w:rsidRDefault="006354A0" w:rsidP="004C4712">
            <w:pPr>
              <w:ind w:right="309"/>
              <w:jc w:val="right"/>
              <w:rPr>
                <w:rFonts w:ascii="Arial" w:hAnsi="Arial" w:cs="Arial"/>
                <w:sz w:val="20"/>
                <w:szCs w:val="20"/>
              </w:rPr>
            </w:pPr>
            <w:r w:rsidRPr="000279C3">
              <w:rPr>
                <w:rFonts w:ascii="Arial" w:hAnsi="Arial" w:cs="Arial"/>
                <w:bCs/>
                <w:color w:val="000000"/>
                <w:sz w:val="20"/>
                <w:szCs w:val="20"/>
              </w:rPr>
              <w:t>1,</w:t>
            </w:r>
            <w:r w:rsidR="00C24FD3" w:rsidRPr="000279C3">
              <w:rPr>
                <w:rFonts w:ascii="Arial" w:hAnsi="Arial" w:cs="Arial"/>
                <w:bCs/>
                <w:color w:val="000000"/>
                <w:sz w:val="20"/>
                <w:szCs w:val="20"/>
              </w:rPr>
              <w:t>750</w:t>
            </w:r>
          </w:p>
        </w:tc>
        <w:tc>
          <w:tcPr>
            <w:tcW w:w="1408" w:type="dxa"/>
            <w:vAlign w:val="center"/>
          </w:tcPr>
          <w:p w14:paraId="2AFB0098" w14:textId="06511B29" w:rsidR="004C4712" w:rsidRPr="001F23AA" w:rsidRDefault="006354A0" w:rsidP="004C4712">
            <w:pPr>
              <w:ind w:right="159"/>
              <w:jc w:val="right"/>
              <w:rPr>
                <w:rFonts w:ascii="Arial" w:hAnsi="Arial" w:cs="Arial"/>
                <w:sz w:val="20"/>
                <w:szCs w:val="20"/>
              </w:rPr>
            </w:pPr>
            <w:r w:rsidRPr="001F23AA">
              <w:rPr>
                <w:rFonts w:ascii="Arial" w:hAnsi="Arial" w:cs="Arial"/>
                <w:sz w:val="20"/>
                <w:szCs w:val="20"/>
              </w:rPr>
              <w:t>0.</w:t>
            </w:r>
            <w:r w:rsidR="008B7EED" w:rsidRPr="001F23AA">
              <w:rPr>
                <w:rFonts w:ascii="Arial" w:hAnsi="Arial" w:cs="Arial"/>
                <w:sz w:val="20"/>
                <w:szCs w:val="20"/>
              </w:rPr>
              <w:t>091110</w:t>
            </w:r>
          </w:p>
        </w:tc>
        <w:tc>
          <w:tcPr>
            <w:tcW w:w="1408" w:type="dxa"/>
            <w:shd w:val="clear" w:color="auto" w:fill="auto"/>
            <w:vAlign w:val="center"/>
          </w:tcPr>
          <w:p w14:paraId="7A529358" w14:textId="36B15B66" w:rsidR="004C4712" w:rsidRPr="001F23AA" w:rsidRDefault="00FE512B" w:rsidP="004C4712">
            <w:pPr>
              <w:ind w:right="294"/>
              <w:jc w:val="right"/>
              <w:rPr>
                <w:rFonts w:ascii="Arial" w:hAnsi="Arial" w:cs="Arial"/>
                <w:bCs/>
                <w:color w:val="000000"/>
                <w:sz w:val="20"/>
                <w:szCs w:val="20"/>
              </w:rPr>
            </w:pPr>
            <w:r w:rsidRPr="001F23AA">
              <w:rPr>
                <w:rFonts w:ascii="Arial" w:hAnsi="Arial" w:cs="Arial"/>
                <w:bCs/>
                <w:color w:val="000000"/>
                <w:sz w:val="20"/>
                <w:szCs w:val="20"/>
              </w:rPr>
              <w:t>8,223</w:t>
            </w:r>
          </w:p>
        </w:tc>
        <w:tc>
          <w:tcPr>
            <w:tcW w:w="1408" w:type="dxa"/>
            <w:shd w:val="clear" w:color="auto" w:fill="auto"/>
            <w:vAlign w:val="center"/>
          </w:tcPr>
          <w:p w14:paraId="4CEB85CA" w14:textId="13106CF1" w:rsidR="004C4712" w:rsidRPr="001F23AA" w:rsidRDefault="006A6644" w:rsidP="004C4712">
            <w:pPr>
              <w:jc w:val="right"/>
              <w:rPr>
                <w:rFonts w:ascii="Arial" w:hAnsi="Arial" w:cs="Arial"/>
                <w:sz w:val="20"/>
                <w:szCs w:val="20"/>
              </w:rPr>
            </w:pPr>
            <w:r w:rsidRPr="001F23AA">
              <w:rPr>
                <w:rFonts w:ascii="Arial" w:hAnsi="Arial" w:cs="Arial"/>
                <w:sz w:val="20"/>
                <w:szCs w:val="20"/>
              </w:rPr>
              <w:t>(2.0)</w:t>
            </w:r>
          </w:p>
        </w:tc>
      </w:tr>
      <w:tr w:rsidR="004C4712" w:rsidRPr="009671B4" w14:paraId="5694CA4C" w14:textId="77777777" w:rsidTr="004C4712">
        <w:trPr>
          <w:jc w:val="center"/>
        </w:trPr>
        <w:tc>
          <w:tcPr>
            <w:tcW w:w="3539" w:type="dxa"/>
            <w:vAlign w:val="bottom"/>
          </w:tcPr>
          <w:p w14:paraId="5F70A3A8" w14:textId="6E805884" w:rsidR="004C4712" w:rsidRPr="00F82FD7" w:rsidRDefault="004C4712" w:rsidP="004C4712">
            <w:pPr>
              <w:rPr>
                <w:rFonts w:ascii="Arial" w:hAnsi="Arial" w:cs="Arial"/>
                <w:color w:val="000000"/>
                <w:sz w:val="20"/>
                <w:szCs w:val="20"/>
              </w:rPr>
            </w:pPr>
            <w:r w:rsidRPr="00F82FD7">
              <w:rPr>
                <w:rFonts w:ascii="Arial" w:hAnsi="Arial" w:cs="Arial"/>
                <w:color w:val="000000"/>
                <w:sz w:val="20"/>
                <w:szCs w:val="20"/>
              </w:rPr>
              <w:t>Airport/Strategic Industry (GRV)</w:t>
            </w:r>
          </w:p>
        </w:tc>
        <w:tc>
          <w:tcPr>
            <w:tcW w:w="1407" w:type="dxa"/>
            <w:vAlign w:val="center"/>
          </w:tcPr>
          <w:p w14:paraId="7F434A4F" w14:textId="5F953D44" w:rsidR="004C4712" w:rsidRPr="000279C3" w:rsidRDefault="006354A0" w:rsidP="004C4712">
            <w:pPr>
              <w:ind w:right="309"/>
              <w:jc w:val="right"/>
              <w:rPr>
                <w:rFonts w:ascii="Arial" w:hAnsi="Arial" w:cs="Arial"/>
                <w:sz w:val="20"/>
                <w:szCs w:val="20"/>
              </w:rPr>
            </w:pPr>
            <w:r w:rsidRPr="000279C3">
              <w:rPr>
                <w:rFonts w:ascii="Arial" w:hAnsi="Arial" w:cs="Arial"/>
                <w:bCs/>
                <w:color w:val="000000"/>
                <w:sz w:val="20"/>
                <w:szCs w:val="20"/>
              </w:rPr>
              <w:t>1,</w:t>
            </w:r>
            <w:r w:rsidR="00C24FD3" w:rsidRPr="000279C3">
              <w:rPr>
                <w:rFonts w:ascii="Arial" w:hAnsi="Arial" w:cs="Arial"/>
                <w:bCs/>
                <w:color w:val="000000"/>
                <w:sz w:val="20"/>
                <w:szCs w:val="20"/>
              </w:rPr>
              <w:t>750</w:t>
            </w:r>
          </w:p>
        </w:tc>
        <w:tc>
          <w:tcPr>
            <w:tcW w:w="1408" w:type="dxa"/>
            <w:vAlign w:val="center"/>
          </w:tcPr>
          <w:p w14:paraId="5386A738" w14:textId="094F9566" w:rsidR="004C4712" w:rsidRPr="004A2E2A" w:rsidRDefault="006354A0" w:rsidP="004C4712">
            <w:pPr>
              <w:ind w:right="159"/>
              <w:jc w:val="right"/>
              <w:rPr>
                <w:rFonts w:ascii="Arial" w:hAnsi="Arial" w:cs="Arial"/>
                <w:sz w:val="20"/>
                <w:szCs w:val="20"/>
              </w:rPr>
            </w:pPr>
            <w:r w:rsidRPr="004A2E2A">
              <w:rPr>
                <w:rFonts w:ascii="Arial" w:hAnsi="Arial" w:cs="Arial"/>
                <w:sz w:val="20"/>
                <w:szCs w:val="20"/>
              </w:rPr>
              <w:t>0.1</w:t>
            </w:r>
            <w:r w:rsidR="008B7EED" w:rsidRPr="004A2E2A">
              <w:rPr>
                <w:rFonts w:ascii="Arial" w:hAnsi="Arial" w:cs="Arial"/>
                <w:sz w:val="20"/>
                <w:szCs w:val="20"/>
              </w:rPr>
              <w:t>11589</w:t>
            </w:r>
          </w:p>
        </w:tc>
        <w:tc>
          <w:tcPr>
            <w:tcW w:w="1408" w:type="dxa"/>
            <w:shd w:val="clear" w:color="auto" w:fill="auto"/>
            <w:vAlign w:val="center"/>
          </w:tcPr>
          <w:p w14:paraId="6FC9E62F" w14:textId="6291D171" w:rsidR="004C4712" w:rsidRPr="004A2E2A" w:rsidRDefault="00863E2B" w:rsidP="004C4712">
            <w:pPr>
              <w:ind w:right="294"/>
              <w:jc w:val="right"/>
              <w:rPr>
                <w:rFonts w:ascii="Arial" w:hAnsi="Arial" w:cs="Arial"/>
                <w:bCs/>
                <w:color w:val="000000"/>
                <w:sz w:val="20"/>
                <w:szCs w:val="20"/>
              </w:rPr>
            </w:pPr>
            <w:r w:rsidRPr="004A2E2A">
              <w:rPr>
                <w:rFonts w:ascii="Arial" w:hAnsi="Arial" w:cs="Arial"/>
                <w:bCs/>
                <w:color w:val="000000"/>
                <w:sz w:val="20"/>
                <w:szCs w:val="20"/>
              </w:rPr>
              <w:t>41,289</w:t>
            </w:r>
          </w:p>
        </w:tc>
        <w:tc>
          <w:tcPr>
            <w:tcW w:w="1408" w:type="dxa"/>
            <w:shd w:val="clear" w:color="auto" w:fill="auto"/>
            <w:vAlign w:val="center"/>
          </w:tcPr>
          <w:p w14:paraId="2F9086EC" w14:textId="616C2BDF" w:rsidR="004C4712" w:rsidRPr="004A2E2A" w:rsidRDefault="006A6644" w:rsidP="004C4712">
            <w:pPr>
              <w:jc w:val="right"/>
              <w:rPr>
                <w:rFonts w:ascii="Arial" w:hAnsi="Arial" w:cs="Arial"/>
                <w:sz w:val="20"/>
                <w:szCs w:val="20"/>
              </w:rPr>
            </w:pPr>
            <w:r w:rsidRPr="004A2E2A">
              <w:rPr>
                <w:rFonts w:ascii="Arial" w:hAnsi="Arial" w:cs="Arial"/>
                <w:sz w:val="20"/>
                <w:szCs w:val="20"/>
              </w:rPr>
              <w:t>(</w:t>
            </w:r>
            <w:r w:rsidR="00C223D7" w:rsidRPr="004A2E2A">
              <w:rPr>
                <w:rFonts w:ascii="Arial" w:hAnsi="Arial" w:cs="Arial"/>
                <w:sz w:val="20"/>
                <w:szCs w:val="20"/>
              </w:rPr>
              <w:t>29.0)</w:t>
            </w:r>
          </w:p>
        </w:tc>
      </w:tr>
      <w:tr w:rsidR="004C4712" w:rsidRPr="009671B4" w14:paraId="02C2AB62" w14:textId="77777777" w:rsidTr="004C4712">
        <w:trPr>
          <w:jc w:val="center"/>
        </w:trPr>
        <w:tc>
          <w:tcPr>
            <w:tcW w:w="3539" w:type="dxa"/>
            <w:vAlign w:val="bottom"/>
          </w:tcPr>
          <w:p w14:paraId="2521B927" w14:textId="56DD6E5B" w:rsidR="004C4712" w:rsidRPr="00F82FD7" w:rsidRDefault="004C4712" w:rsidP="004C4712">
            <w:pPr>
              <w:rPr>
                <w:rFonts w:ascii="Arial" w:hAnsi="Arial" w:cs="Arial"/>
                <w:color w:val="000000"/>
                <w:sz w:val="20"/>
                <w:szCs w:val="20"/>
              </w:rPr>
            </w:pPr>
            <w:r w:rsidRPr="00F82FD7">
              <w:rPr>
                <w:rFonts w:ascii="Arial" w:hAnsi="Arial" w:cs="Arial"/>
                <w:color w:val="000000"/>
                <w:sz w:val="20"/>
                <w:szCs w:val="20"/>
              </w:rPr>
              <w:t>Transient Workforce Accommodation/Workforce Accommodation</w:t>
            </w:r>
          </w:p>
        </w:tc>
        <w:tc>
          <w:tcPr>
            <w:tcW w:w="1407" w:type="dxa"/>
            <w:vAlign w:val="center"/>
          </w:tcPr>
          <w:p w14:paraId="19C8C418" w14:textId="306BF3F5" w:rsidR="004C4712" w:rsidRPr="000279C3" w:rsidRDefault="006354A0" w:rsidP="004C4712">
            <w:pPr>
              <w:ind w:right="309"/>
              <w:jc w:val="right"/>
              <w:rPr>
                <w:rFonts w:ascii="Arial" w:hAnsi="Arial" w:cs="Arial"/>
                <w:sz w:val="20"/>
                <w:szCs w:val="20"/>
              </w:rPr>
            </w:pPr>
            <w:r w:rsidRPr="000279C3">
              <w:rPr>
                <w:rFonts w:ascii="Arial" w:hAnsi="Arial" w:cs="Arial"/>
                <w:bCs/>
                <w:color w:val="000000"/>
                <w:sz w:val="20"/>
                <w:szCs w:val="20"/>
              </w:rPr>
              <w:t>1,</w:t>
            </w:r>
            <w:r w:rsidR="00C24FD3" w:rsidRPr="000279C3">
              <w:rPr>
                <w:rFonts w:ascii="Arial" w:hAnsi="Arial" w:cs="Arial"/>
                <w:bCs/>
                <w:color w:val="000000"/>
                <w:sz w:val="20"/>
                <w:szCs w:val="20"/>
              </w:rPr>
              <w:t>750</w:t>
            </w:r>
          </w:p>
        </w:tc>
        <w:tc>
          <w:tcPr>
            <w:tcW w:w="1408" w:type="dxa"/>
            <w:vAlign w:val="center"/>
          </w:tcPr>
          <w:p w14:paraId="461785AA" w14:textId="35E6A132" w:rsidR="004C4712" w:rsidRPr="004A2E2A" w:rsidRDefault="006354A0" w:rsidP="004C4712">
            <w:pPr>
              <w:ind w:right="159"/>
              <w:jc w:val="right"/>
              <w:rPr>
                <w:rFonts w:ascii="Arial" w:hAnsi="Arial" w:cs="Arial"/>
                <w:sz w:val="20"/>
                <w:szCs w:val="20"/>
              </w:rPr>
            </w:pPr>
            <w:r w:rsidRPr="004A2E2A">
              <w:rPr>
                <w:rFonts w:ascii="Arial" w:hAnsi="Arial" w:cs="Arial"/>
                <w:sz w:val="20"/>
                <w:szCs w:val="20"/>
              </w:rPr>
              <w:t>0.</w:t>
            </w:r>
            <w:r w:rsidR="00320ED5" w:rsidRPr="004A2E2A">
              <w:rPr>
                <w:rFonts w:ascii="Arial" w:hAnsi="Arial" w:cs="Arial"/>
                <w:sz w:val="20"/>
                <w:szCs w:val="20"/>
              </w:rPr>
              <w:t>223179</w:t>
            </w:r>
          </w:p>
        </w:tc>
        <w:tc>
          <w:tcPr>
            <w:tcW w:w="1408" w:type="dxa"/>
            <w:shd w:val="clear" w:color="auto" w:fill="auto"/>
            <w:vAlign w:val="center"/>
          </w:tcPr>
          <w:p w14:paraId="0F6FA666" w14:textId="4DF42B31" w:rsidR="004C4712" w:rsidRPr="004A2E2A" w:rsidRDefault="00EF4ED0" w:rsidP="004C4712">
            <w:pPr>
              <w:ind w:right="294"/>
              <w:jc w:val="right"/>
              <w:rPr>
                <w:rFonts w:ascii="Arial" w:hAnsi="Arial" w:cs="Arial"/>
                <w:bCs/>
                <w:color w:val="000000"/>
                <w:sz w:val="20"/>
                <w:szCs w:val="20"/>
              </w:rPr>
            </w:pPr>
            <w:r>
              <w:rPr>
                <w:rFonts w:ascii="Arial" w:hAnsi="Arial" w:cs="Arial"/>
                <w:bCs/>
                <w:color w:val="000000"/>
                <w:sz w:val="20"/>
                <w:szCs w:val="20"/>
              </w:rPr>
              <w:t>345</w:t>
            </w:r>
            <w:r w:rsidR="000D5056">
              <w:rPr>
                <w:rFonts w:ascii="Arial" w:hAnsi="Arial" w:cs="Arial"/>
                <w:bCs/>
                <w:color w:val="000000"/>
                <w:sz w:val="20"/>
                <w:szCs w:val="20"/>
              </w:rPr>
              <w:t>,690</w:t>
            </w:r>
          </w:p>
        </w:tc>
        <w:tc>
          <w:tcPr>
            <w:tcW w:w="1408" w:type="dxa"/>
            <w:shd w:val="clear" w:color="auto" w:fill="auto"/>
            <w:vAlign w:val="center"/>
          </w:tcPr>
          <w:p w14:paraId="494F5026" w14:textId="12F95E71" w:rsidR="004C4712" w:rsidRPr="004A2E2A" w:rsidRDefault="00C223D7" w:rsidP="004C4712">
            <w:pPr>
              <w:jc w:val="right"/>
              <w:rPr>
                <w:rFonts w:ascii="Arial" w:hAnsi="Arial" w:cs="Arial"/>
                <w:sz w:val="20"/>
                <w:szCs w:val="20"/>
              </w:rPr>
            </w:pPr>
            <w:r w:rsidRPr="004A2E2A">
              <w:rPr>
                <w:rFonts w:ascii="Arial" w:hAnsi="Arial" w:cs="Arial"/>
                <w:sz w:val="20"/>
                <w:szCs w:val="20"/>
              </w:rPr>
              <w:t>(18.0)</w:t>
            </w:r>
          </w:p>
        </w:tc>
      </w:tr>
    </w:tbl>
    <w:p w14:paraId="07347480" w14:textId="48ED55C6" w:rsidR="00C608F8" w:rsidRPr="00C608F8" w:rsidRDefault="00C608F8" w:rsidP="00C608F8">
      <w:pPr>
        <w:spacing w:after="120" w:line="240" w:lineRule="auto"/>
        <w:rPr>
          <w:rFonts w:ascii="Arial" w:hAnsi="Arial" w:cs="Arial"/>
          <w:bCs/>
          <w:i/>
          <w:iCs/>
          <w:sz w:val="20"/>
          <w:szCs w:val="20"/>
        </w:rPr>
      </w:pPr>
      <w:r w:rsidRPr="00C608F8">
        <w:rPr>
          <w:rFonts w:ascii="Arial" w:hAnsi="Arial" w:cs="Arial"/>
          <w:bCs/>
          <w:i/>
          <w:iCs/>
          <w:sz w:val="20"/>
          <w:szCs w:val="20"/>
        </w:rPr>
        <w:t>Table 1: Proposed differential rates for 2025/26 financial year (GRV)</w:t>
      </w:r>
      <w:r>
        <w:rPr>
          <w:rFonts w:ascii="Arial" w:hAnsi="Arial" w:cs="Arial"/>
          <w:bCs/>
          <w:i/>
          <w:iCs/>
          <w:sz w:val="20"/>
          <w:szCs w:val="20"/>
        </w:rPr>
        <w:t xml:space="preserve"> </w:t>
      </w:r>
      <w:r w:rsidRPr="00C608F8">
        <w:rPr>
          <w:rFonts w:ascii="Arial" w:hAnsi="Arial" w:cs="Arial"/>
          <w:bCs/>
          <w:i/>
          <w:iCs/>
          <w:sz w:val="20"/>
          <w:szCs w:val="20"/>
        </w:rPr>
        <w:t xml:space="preserve">Including average rate per </w:t>
      </w:r>
      <w:r w:rsidR="006E6D7D" w:rsidRPr="00C608F8">
        <w:rPr>
          <w:rFonts w:ascii="Arial" w:hAnsi="Arial" w:cs="Arial"/>
          <w:bCs/>
          <w:i/>
          <w:iCs/>
          <w:sz w:val="20"/>
          <w:szCs w:val="20"/>
        </w:rPr>
        <w:t>assessment.</w:t>
      </w:r>
    </w:p>
    <w:p w14:paraId="7C676F76" w14:textId="214AE6C6" w:rsidR="00604354" w:rsidRDefault="00604354" w:rsidP="00604354">
      <w:pPr>
        <w:spacing w:after="0" w:line="240" w:lineRule="auto"/>
        <w:jc w:val="both"/>
        <w:rPr>
          <w:rFonts w:ascii="Arial" w:hAnsi="Arial" w:cs="Arial"/>
          <w:sz w:val="20"/>
          <w:szCs w:val="20"/>
        </w:rPr>
      </w:pPr>
      <w:r w:rsidRPr="00604354">
        <w:rPr>
          <w:rFonts w:ascii="Arial" w:hAnsi="Arial" w:cs="Arial"/>
          <w:b/>
          <w:sz w:val="20"/>
          <w:szCs w:val="20"/>
        </w:rPr>
        <w:t xml:space="preserve">Residential – </w:t>
      </w:r>
      <w:r w:rsidRPr="00604354">
        <w:rPr>
          <w:rFonts w:ascii="Arial" w:hAnsi="Arial" w:cs="Arial"/>
          <w:sz w:val="20"/>
          <w:szCs w:val="20"/>
        </w:rPr>
        <w:t>means any land:</w:t>
      </w:r>
    </w:p>
    <w:p w14:paraId="272C0F67" w14:textId="14D90EAB" w:rsidR="00604354" w:rsidRPr="00604354" w:rsidRDefault="00604354" w:rsidP="00A474C7">
      <w:pPr>
        <w:pStyle w:val="ListParagraph"/>
        <w:numPr>
          <w:ilvl w:val="0"/>
          <w:numId w:val="1"/>
        </w:numPr>
        <w:jc w:val="both"/>
        <w:rPr>
          <w:rFonts w:cs="Arial"/>
          <w:szCs w:val="20"/>
        </w:rPr>
      </w:pPr>
      <w:r w:rsidRPr="00604354">
        <w:rPr>
          <w:rFonts w:cs="Arial"/>
          <w:szCs w:val="20"/>
        </w:rPr>
        <w:t xml:space="preserve">that is predominantly used for residential </w:t>
      </w:r>
      <w:r w:rsidR="00E15163" w:rsidRPr="00604354">
        <w:rPr>
          <w:rFonts w:cs="Arial"/>
          <w:szCs w:val="20"/>
        </w:rPr>
        <w:t>purposes.</w:t>
      </w:r>
      <w:r w:rsidRPr="00604354">
        <w:rPr>
          <w:rFonts w:cs="Arial"/>
          <w:szCs w:val="20"/>
        </w:rPr>
        <w:t xml:space="preserve"> </w:t>
      </w:r>
    </w:p>
    <w:p w14:paraId="6057ADB8" w14:textId="77777777" w:rsidR="00604354" w:rsidRPr="00604354" w:rsidRDefault="00604354" w:rsidP="00E91AEA">
      <w:pPr>
        <w:pStyle w:val="NoSpacing"/>
        <w:spacing w:before="60" w:after="60"/>
        <w:ind w:firstLine="720"/>
        <w:rPr>
          <w:rFonts w:ascii="Arial" w:hAnsi="Arial" w:cs="Arial"/>
          <w:b/>
          <w:sz w:val="20"/>
          <w:szCs w:val="20"/>
        </w:rPr>
      </w:pPr>
      <w:r w:rsidRPr="00604354">
        <w:rPr>
          <w:rFonts w:ascii="Arial" w:hAnsi="Arial" w:cs="Arial"/>
          <w:b/>
          <w:sz w:val="20"/>
          <w:szCs w:val="20"/>
        </w:rPr>
        <w:t>or</w:t>
      </w:r>
    </w:p>
    <w:p w14:paraId="1EB05ABD" w14:textId="57DA319A" w:rsidR="0063057E" w:rsidRPr="00633BBE" w:rsidRDefault="00604354" w:rsidP="00604354">
      <w:pPr>
        <w:pStyle w:val="NoSpacing"/>
        <w:numPr>
          <w:ilvl w:val="0"/>
          <w:numId w:val="1"/>
        </w:numPr>
        <w:jc w:val="both"/>
        <w:rPr>
          <w:rFonts w:ascii="Arial" w:hAnsi="Arial" w:cs="Arial"/>
          <w:sz w:val="20"/>
          <w:szCs w:val="20"/>
        </w:rPr>
      </w:pPr>
      <w:r w:rsidRPr="00604354">
        <w:rPr>
          <w:rFonts w:ascii="Arial" w:hAnsi="Arial" w:cs="Arial"/>
          <w:sz w:val="20"/>
          <w:szCs w:val="20"/>
        </w:rPr>
        <w:t xml:space="preserve">which is vacant of any </w:t>
      </w:r>
      <w:r w:rsidR="000F527A" w:rsidRPr="00604354">
        <w:rPr>
          <w:rFonts w:ascii="Arial" w:hAnsi="Arial" w:cs="Arial"/>
          <w:sz w:val="20"/>
          <w:szCs w:val="20"/>
        </w:rPr>
        <w:t>construction and</w:t>
      </w:r>
      <w:r w:rsidRPr="00604354">
        <w:rPr>
          <w:rFonts w:ascii="Arial" w:hAnsi="Arial" w:cs="Arial"/>
          <w:sz w:val="20"/>
          <w:szCs w:val="20"/>
        </w:rPr>
        <w:t xml:space="preserve"> is zoned as residential under the City</w:t>
      </w:r>
      <w:r w:rsidR="004330FC">
        <w:rPr>
          <w:rFonts w:ascii="Arial" w:hAnsi="Arial" w:cs="Arial"/>
          <w:sz w:val="20"/>
          <w:szCs w:val="20"/>
        </w:rPr>
        <w:t xml:space="preserve">’s </w:t>
      </w:r>
      <w:r w:rsidRPr="00604354">
        <w:rPr>
          <w:rFonts w:ascii="Arial" w:hAnsi="Arial" w:cs="Arial"/>
          <w:sz w:val="20"/>
          <w:szCs w:val="20"/>
        </w:rPr>
        <w:t xml:space="preserve">Planning </w:t>
      </w:r>
      <w:r w:rsidRPr="00633BBE">
        <w:rPr>
          <w:rFonts w:ascii="Arial" w:hAnsi="Arial" w:cs="Arial"/>
          <w:sz w:val="20"/>
          <w:szCs w:val="20"/>
        </w:rPr>
        <w:t>Scheme</w:t>
      </w:r>
      <w:r w:rsidR="0063057E" w:rsidRPr="00633BBE">
        <w:rPr>
          <w:rFonts w:ascii="Arial" w:hAnsi="Arial" w:cs="Arial"/>
          <w:sz w:val="20"/>
          <w:szCs w:val="20"/>
        </w:rPr>
        <w:t>.</w:t>
      </w:r>
    </w:p>
    <w:p w14:paraId="6E95D7E7" w14:textId="77777777" w:rsidR="0063057E" w:rsidRPr="00633BBE" w:rsidRDefault="0063057E" w:rsidP="00850A3A">
      <w:pPr>
        <w:pStyle w:val="NoSpacing"/>
        <w:ind w:left="720"/>
        <w:jc w:val="both"/>
        <w:rPr>
          <w:rFonts w:ascii="Arial" w:hAnsi="Arial" w:cs="Arial"/>
          <w:sz w:val="20"/>
          <w:szCs w:val="20"/>
        </w:rPr>
      </w:pPr>
    </w:p>
    <w:p w14:paraId="0588B18E" w14:textId="68ADC379" w:rsidR="00E927C9" w:rsidRPr="00633BBE" w:rsidRDefault="00E927C9" w:rsidP="00E927C9">
      <w:pPr>
        <w:autoSpaceDE w:val="0"/>
        <w:autoSpaceDN w:val="0"/>
        <w:adjustRightInd w:val="0"/>
        <w:spacing w:after="0" w:line="240" w:lineRule="auto"/>
        <w:jc w:val="both"/>
        <w:rPr>
          <w:rFonts w:ascii="Arial" w:hAnsi="Arial" w:cs="Arial"/>
          <w:sz w:val="20"/>
          <w:szCs w:val="20"/>
        </w:rPr>
      </w:pPr>
      <w:r w:rsidRPr="00633BBE">
        <w:rPr>
          <w:rFonts w:ascii="Arial" w:hAnsi="Arial" w:cs="Arial"/>
          <w:sz w:val="20"/>
          <w:szCs w:val="20"/>
        </w:rPr>
        <w:t xml:space="preserve">This differential rate is applicable to properties that have a predominant land use of </w:t>
      </w:r>
      <w:r w:rsidR="000F527A" w:rsidRPr="00633BBE">
        <w:rPr>
          <w:rFonts w:ascii="Arial" w:hAnsi="Arial" w:cs="Arial"/>
          <w:sz w:val="20"/>
          <w:szCs w:val="20"/>
        </w:rPr>
        <w:t>residential or</w:t>
      </w:r>
      <w:r w:rsidRPr="00633BBE">
        <w:rPr>
          <w:rFonts w:ascii="Arial" w:hAnsi="Arial" w:cs="Arial"/>
          <w:sz w:val="20"/>
          <w:szCs w:val="20"/>
        </w:rPr>
        <w:t xml:space="preserve"> used by organisations involved in activities for community benefit including Arts and Craft facilities, Youth Centres, Day Care Centres, Sporting Grounds/Clubs (that do not run a commercial business/kitchen) and health &amp; emergency service facilities. </w:t>
      </w:r>
    </w:p>
    <w:p w14:paraId="68105925" w14:textId="77777777" w:rsidR="00E927C9" w:rsidRPr="00633BBE" w:rsidRDefault="00E927C9" w:rsidP="00E927C9">
      <w:pPr>
        <w:autoSpaceDE w:val="0"/>
        <w:autoSpaceDN w:val="0"/>
        <w:adjustRightInd w:val="0"/>
        <w:spacing w:after="0" w:line="240" w:lineRule="auto"/>
        <w:jc w:val="both"/>
        <w:rPr>
          <w:rFonts w:ascii="Arial" w:hAnsi="Arial" w:cs="Arial"/>
        </w:rPr>
      </w:pPr>
    </w:p>
    <w:p w14:paraId="5638C1FF" w14:textId="13BA75CA" w:rsidR="00FC47B2" w:rsidRPr="00633BBE" w:rsidRDefault="0092489E" w:rsidP="00715762">
      <w:pPr>
        <w:spacing w:after="0" w:line="240" w:lineRule="auto"/>
        <w:jc w:val="both"/>
        <w:rPr>
          <w:rFonts w:ascii="Arial" w:eastAsiaTheme="minorEastAsia" w:hAnsi="Arial" w:cs="Arial"/>
          <w:sz w:val="20"/>
          <w:szCs w:val="20"/>
          <w:lang w:eastAsia="en-AU"/>
        </w:rPr>
      </w:pPr>
      <w:r w:rsidRPr="00633BBE">
        <w:rPr>
          <w:rFonts w:ascii="Arial" w:eastAsiaTheme="minorEastAsia" w:hAnsi="Arial" w:cs="Arial"/>
          <w:sz w:val="20"/>
          <w:szCs w:val="20"/>
          <w:lang w:eastAsia="en-AU"/>
        </w:rPr>
        <w:t>The reason for the rate in the dollar for this</w:t>
      </w:r>
      <w:r w:rsidR="00686B0A" w:rsidRPr="00633BBE">
        <w:rPr>
          <w:rFonts w:ascii="Arial" w:eastAsiaTheme="minorEastAsia" w:hAnsi="Arial" w:cs="Arial"/>
          <w:sz w:val="20"/>
          <w:szCs w:val="20"/>
          <w:lang w:eastAsia="en-AU"/>
        </w:rPr>
        <w:t xml:space="preserve"> category </w:t>
      </w:r>
      <w:r w:rsidRPr="00633BBE">
        <w:rPr>
          <w:rFonts w:ascii="Arial" w:eastAsiaTheme="minorEastAsia" w:hAnsi="Arial" w:cs="Arial"/>
          <w:sz w:val="20"/>
          <w:szCs w:val="20"/>
          <w:lang w:eastAsia="en-AU"/>
        </w:rPr>
        <w:t xml:space="preserve">is to </w:t>
      </w:r>
      <w:r w:rsidR="00686B0A" w:rsidRPr="00633BBE">
        <w:rPr>
          <w:rFonts w:ascii="Arial" w:eastAsiaTheme="minorEastAsia" w:hAnsi="Arial" w:cs="Arial"/>
          <w:sz w:val="20"/>
          <w:szCs w:val="20"/>
          <w:lang w:eastAsia="en-AU"/>
        </w:rPr>
        <w:t>reflect the level of rating required to raise the necessary revenue to operate efficiently and provide the diverse range of services and programs and associated infrastructure/facilities required for developed residential and urban areas.</w:t>
      </w:r>
      <w:r w:rsidR="007F5C4E" w:rsidRPr="00633BBE">
        <w:rPr>
          <w:rFonts w:ascii="Arial" w:eastAsiaTheme="minorEastAsia" w:hAnsi="Arial" w:cs="Arial"/>
          <w:sz w:val="20"/>
          <w:szCs w:val="20"/>
          <w:lang w:eastAsia="en-AU"/>
        </w:rPr>
        <w:t xml:space="preserve"> </w:t>
      </w:r>
      <w:r w:rsidR="00E927C9" w:rsidRPr="00633BBE">
        <w:rPr>
          <w:rFonts w:ascii="Arial" w:hAnsi="Arial" w:cs="Arial"/>
          <w:sz w:val="20"/>
          <w:szCs w:val="20"/>
        </w:rPr>
        <w:t xml:space="preserve">Also to further the </w:t>
      </w:r>
      <w:r w:rsidR="00965478">
        <w:rPr>
          <w:rFonts w:ascii="Arial" w:hAnsi="Arial" w:cs="Arial"/>
          <w:sz w:val="20"/>
          <w:szCs w:val="20"/>
        </w:rPr>
        <w:t>City</w:t>
      </w:r>
      <w:r w:rsidR="00E927C9" w:rsidRPr="00633BBE">
        <w:rPr>
          <w:rFonts w:ascii="Arial" w:hAnsi="Arial" w:cs="Arial"/>
          <w:sz w:val="20"/>
          <w:szCs w:val="20"/>
        </w:rPr>
        <w:t xml:space="preserve">’s strategic goals to encourage and support residential development in the town sites and organisations that contribute toward a safe, healthy, </w:t>
      </w:r>
      <w:r w:rsidR="00CF4006" w:rsidRPr="00633BBE">
        <w:rPr>
          <w:rFonts w:ascii="Arial" w:hAnsi="Arial" w:cs="Arial"/>
          <w:sz w:val="20"/>
          <w:szCs w:val="20"/>
        </w:rPr>
        <w:t>cohesive,</w:t>
      </w:r>
      <w:r w:rsidR="00E927C9" w:rsidRPr="00633BBE">
        <w:rPr>
          <w:rFonts w:ascii="Arial" w:hAnsi="Arial" w:cs="Arial"/>
          <w:sz w:val="20"/>
          <w:szCs w:val="20"/>
        </w:rPr>
        <w:t xml:space="preserve"> and vibrant community</w:t>
      </w:r>
      <w:r w:rsidR="00791B36">
        <w:rPr>
          <w:rFonts w:ascii="Arial" w:hAnsi="Arial" w:cs="Arial"/>
          <w:sz w:val="20"/>
          <w:szCs w:val="20"/>
        </w:rPr>
        <w:t>.</w:t>
      </w:r>
    </w:p>
    <w:p w14:paraId="5A774082" w14:textId="77777777" w:rsidR="00FC47B2" w:rsidRDefault="00FC47B2" w:rsidP="00715762">
      <w:pPr>
        <w:spacing w:after="0" w:line="240" w:lineRule="auto"/>
        <w:jc w:val="both"/>
        <w:rPr>
          <w:rFonts w:ascii="Arial" w:eastAsiaTheme="minorEastAsia" w:hAnsi="Arial" w:cs="Arial"/>
          <w:sz w:val="20"/>
          <w:szCs w:val="20"/>
          <w:lang w:eastAsia="en-AU"/>
        </w:rPr>
      </w:pPr>
    </w:p>
    <w:p w14:paraId="2BF29225" w14:textId="2E4ECD1A" w:rsidR="00686B0A" w:rsidRDefault="007F5C4E" w:rsidP="00715762">
      <w:pPr>
        <w:spacing w:after="0" w:line="240" w:lineRule="auto"/>
        <w:jc w:val="both"/>
        <w:rPr>
          <w:rFonts w:ascii="Arial" w:eastAsiaTheme="minorEastAsia" w:hAnsi="Arial" w:cs="Arial"/>
          <w:sz w:val="20"/>
          <w:szCs w:val="20"/>
          <w:lang w:eastAsia="en-AU"/>
        </w:rPr>
      </w:pPr>
      <w:r>
        <w:rPr>
          <w:rFonts w:ascii="Arial" w:eastAsiaTheme="minorEastAsia" w:hAnsi="Arial" w:cs="Arial"/>
          <w:sz w:val="20"/>
          <w:szCs w:val="20"/>
          <w:lang w:eastAsia="en-AU"/>
        </w:rPr>
        <w:t xml:space="preserve">Council is focussed </w:t>
      </w:r>
      <w:r w:rsidR="00165BD3">
        <w:rPr>
          <w:rFonts w:ascii="Arial" w:eastAsiaTheme="minorEastAsia" w:hAnsi="Arial" w:cs="Arial"/>
          <w:sz w:val="20"/>
          <w:szCs w:val="20"/>
          <w:lang w:eastAsia="en-AU"/>
        </w:rPr>
        <w:t xml:space="preserve">on </w:t>
      </w:r>
      <w:r>
        <w:rPr>
          <w:rFonts w:ascii="Arial" w:eastAsiaTheme="minorEastAsia" w:hAnsi="Arial" w:cs="Arial"/>
          <w:sz w:val="20"/>
          <w:szCs w:val="20"/>
          <w:lang w:eastAsia="en-AU"/>
        </w:rPr>
        <w:t xml:space="preserve">sustainably managing its community and infrastructure assets through the funding of renewal and replacement asset programs. These programs include </w:t>
      </w:r>
      <w:r w:rsidR="00307D36">
        <w:rPr>
          <w:rFonts w:ascii="Arial" w:eastAsiaTheme="minorEastAsia" w:hAnsi="Arial" w:cs="Arial"/>
          <w:sz w:val="20"/>
          <w:szCs w:val="20"/>
          <w:lang w:eastAsia="en-AU"/>
        </w:rPr>
        <w:t xml:space="preserve">but are not limited to </w:t>
      </w:r>
      <w:r>
        <w:rPr>
          <w:rFonts w:ascii="Arial" w:eastAsiaTheme="minorEastAsia" w:hAnsi="Arial" w:cs="Arial"/>
          <w:sz w:val="20"/>
          <w:szCs w:val="20"/>
          <w:lang w:eastAsia="en-AU"/>
        </w:rPr>
        <w:t xml:space="preserve">investment in the resealing of roads, </w:t>
      </w:r>
      <w:r w:rsidR="00CF4006">
        <w:rPr>
          <w:rFonts w:ascii="Arial" w:eastAsiaTheme="minorEastAsia" w:hAnsi="Arial" w:cs="Arial"/>
          <w:sz w:val="20"/>
          <w:szCs w:val="20"/>
          <w:lang w:eastAsia="en-AU"/>
        </w:rPr>
        <w:t>replacement,</w:t>
      </w:r>
      <w:r>
        <w:rPr>
          <w:rFonts w:ascii="Arial" w:eastAsiaTheme="minorEastAsia" w:hAnsi="Arial" w:cs="Arial"/>
          <w:sz w:val="20"/>
          <w:szCs w:val="20"/>
          <w:lang w:eastAsia="en-AU"/>
        </w:rPr>
        <w:t xml:space="preserve"> and development of footpath networks, refurbishing of public ablutions and other bu</w:t>
      </w:r>
      <w:r w:rsidR="00307D36">
        <w:rPr>
          <w:rFonts w:ascii="Arial" w:eastAsiaTheme="minorEastAsia" w:hAnsi="Arial" w:cs="Arial"/>
          <w:sz w:val="20"/>
          <w:szCs w:val="20"/>
          <w:lang w:eastAsia="en-AU"/>
        </w:rPr>
        <w:t>ilding maintenance programs</w:t>
      </w:r>
      <w:r>
        <w:rPr>
          <w:rFonts w:ascii="Arial" w:eastAsiaTheme="minorEastAsia" w:hAnsi="Arial" w:cs="Arial"/>
          <w:sz w:val="20"/>
          <w:szCs w:val="20"/>
          <w:lang w:eastAsia="en-AU"/>
        </w:rPr>
        <w:t>.</w:t>
      </w:r>
    </w:p>
    <w:p w14:paraId="13DD63E5" w14:textId="77777777" w:rsidR="00686B0A" w:rsidRDefault="00686B0A" w:rsidP="00715762">
      <w:pPr>
        <w:spacing w:after="0" w:line="240" w:lineRule="auto"/>
        <w:jc w:val="both"/>
        <w:rPr>
          <w:rFonts w:ascii="Arial" w:eastAsiaTheme="minorEastAsia" w:hAnsi="Arial" w:cs="Arial"/>
          <w:sz w:val="20"/>
          <w:szCs w:val="20"/>
          <w:lang w:eastAsia="en-AU"/>
        </w:rPr>
      </w:pPr>
    </w:p>
    <w:p w14:paraId="2F4E027D" w14:textId="11D8BA8A" w:rsidR="00715762" w:rsidRDefault="00715762" w:rsidP="00715762">
      <w:pPr>
        <w:spacing w:after="0" w:line="240" w:lineRule="auto"/>
        <w:jc w:val="both"/>
        <w:rPr>
          <w:rFonts w:ascii="Arial" w:eastAsiaTheme="minorEastAsia" w:hAnsi="Arial" w:cs="Arial"/>
          <w:sz w:val="20"/>
          <w:szCs w:val="20"/>
          <w:lang w:eastAsia="en-AU"/>
        </w:rPr>
      </w:pPr>
      <w:r w:rsidRPr="000F005D">
        <w:rPr>
          <w:rFonts w:ascii="Arial" w:eastAsiaTheme="minorEastAsia" w:hAnsi="Arial" w:cs="Arial"/>
          <w:sz w:val="20"/>
          <w:szCs w:val="20"/>
          <w:lang w:eastAsia="en-AU"/>
        </w:rPr>
        <w:t xml:space="preserve">The rate for this category maintains </w:t>
      </w:r>
      <w:r w:rsidR="00A4743C">
        <w:rPr>
          <w:rFonts w:ascii="Arial" w:eastAsiaTheme="minorEastAsia" w:hAnsi="Arial" w:cs="Arial"/>
          <w:sz w:val="20"/>
          <w:szCs w:val="20"/>
          <w:lang w:eastAsia="en-AU"/>
        </w:rPr>
        <w:t xml:space="preserve">the rate yield from 2024/25 </w:t>
      </w:r>
      <w:r w:rsidR="00651006">
        <w:rPr>
          <w:rFonts w:ascii="Arial" w:eastAsiaTheme="minorEastAsia" w:hAnsi="Arial" w:cs="Arial"/>
          <w:sz w:val="20"/>
          <w:szCs w:val="20"/>
          <w:lang w:eastAsia="en-AU"/>
        </w:rPr>
        <w:t>with a</w:t>
      </w:r>
      <w:r w:rsidR="00575B51" w:rsidRPr="00791B36">
        <w:rPr>
          <w:rFonts w:ascii="Arial" w:eastAsiaTheme="minorEastAsia" w:hAnsi="Arial" w:cs="Arial"/>
          <w:sz w:val="20"/>
          <w:szCs w:val="20"/>
          <w:lang w:eastAsia="en-AU"/>
        </w:rPr>
        <w:t xml:space="preserve"> </w:t>
      </w:r>
      <w:r w:rsidR="00651006">
        <w:rPr>
          <w:rFonts w:ascii="Arial" w:eastAsiaTheme="minorEastAsia" w:hAnsi="Arial" w:cs="Arial"/>
          <w:sz w:val="20"/>
          <w:szCs w:val="20"/>
          <w:lang w:eastAsia="en-AU"/>
        </w:rPr>
        <w:t>0</w:t>
      </w:r>
      <w:r w:rsidR="00575B51" w:rsidRPr="00C2259E">
        <w:rPr>
          <w:rFonts w:ascii="Arial" w:eastAsiaTheme="minorEastAsia" w:hAnsi="Arial" w:cs="Arial"/>
          <w:sz w:val="20"/>
          <w:szCs w:val="20"/>
          <w:lang w:eastAsia="en-AU"/>
        </w:rPr>
        <w:t>%</w:t>
      </w:r>
      <w:r w:rsidR="00651006">
        <w:rPr>
          <w:rFonts w:ascii="Arial" w:eastAsiaTheme="minorEastAsia" w:hAnsi="Arial" w:cs="Arial"/>
          <w:sz w:val="20"/>
          <w:szCs w:val="20"/>
          <w:lang w:eastAsia="en-AU"/>
        </w:rPr>
        <w:t xml:space="preserve"> movement</w:t>
      </w:r>
      <w:r w:rsidR="00DF457B">
        <w:rPr>
          <w:rFonts w:ascii="Arial" w:eastAsiaTheme="minorEastAsia" w:hAnsi="Arial" w:cs="Arial"/>
          <w:sz w:val="20"/>
          <w:szCs w:val="20"/>
          <w:lang w:eastAsia="en-AU"/>
        </w:rPr>
        <w:t xml:space="preserve"> due to the GRV valuations and subsequently</w:t>
      </w:r>
      <w:r w:rsidR="00F23C4C" w:rsidRPr="000F005D">
        <w:rPr>
          <w:rFonts w:ascii="Arial" w:eastAsiaTheme="minorEastAsia" w:hAnsi="Arial" w:cs="Arial"/>
          <w:sz w:val="20"/>
          <w:szCs w:val="20"/>
          <w:lang w:eastAsia="en-AU"/>
        </w:rPr>
        <w:t xml:space="preserve"> a </w:t>
      </w:r>
      <w:r w:rsidR="00C2259E">
        <w:rPr>
          <w:rFonts w:ascii="Arial" w:eastAsiaTheme="minorEastAsia" w:hAnsi="Arial" w:cs="Arial"/>
          <w:sz w:val="20"/>
          <w:szCs w:val="20"/>
          <w:lang w:eastAsia="en-AU"/>
        </w:rPr>
        <w:t>de</w:t>
      </w:r>
      <w:r w:rsidR="00F23C4C" w:rsidRPr="000F005D">
        <w:rPr>
          <w:rFonts w:ascii="Arial" w:eastAsiaTheme="minorEastAsia" w:hAnsi="Arial" w:cs="Arial"/>
          <w:sz w:val="20"/>
          <w:szCs w:val="20"/>
          <w:lang w:eastAsia="en-AU"/>
        </w:rPr>
        <w:t xml:space="preserve">crease </w:t>
      </w:r>
      <w:r w:rsidR="00DF457B">
        <w:rPr>
          <w:rFonts w:ascii="Arial" w:eastAsiaTheme="minorEastAsia" w:hAnsi="Arial" w:cs="Arial"/>
          <w:sz w:val="20"/>
          <w:szCs w:val="20"/>
          <w:lang w:eastAsia="en-AU"/>
        </w:rPr>
        <w:t>to</w:t>
      </w:r>
      <w:r w:rsidR="00F23C4C" w:rsidRPr="000F005D">
        <w:rPr>
          <w:rFonts w:ascii="Arial" w:eastAsiaTheme="minorEastAsia" w:hAnsi="Arial" w:cs="Arial"/>
          <w:sz w:val="20"/>
          <w:szCs w:val="20"/>
          <w:lang w:eastAsia="en-AU"/>
        </w:rPr>
        <w:t xml:space="preserve"> the rate</w:t>
      </w:r>
      <w:r w:rsidR="000F005D" w:rsidRPr="000F005D">
        <w:rPr>
          <w:rFonts w:ascii="Arial" w:eastAsiaTheme="minorEastAsia" w:hAnsi="Arial" w:cs="Arial"/>
          <w:sz w:val="20"/>
          <w:szCs w:val="20"/>
          <w:lang w:eastAsia="en-AU"/>
        </w:rPr>
        <w:t>-in-the-dollar</w:t>
      </w:r>
      <w:r w:rsidRPr="000F005D">
        <w:rPr>
          <w:rFonts w:ascii="Arial" w:eastAsiaTheme="minorEastAsia" w:hAnsi="Arial" w:cs="Arial"/>
          <w:sz w:val="20"/>
          <w:szCs w:val="20"/>
          <w:lang w:eastAsia="en-AU"/>
        </w:rPr>
        <w:t>.</w:t>
      </w:r>
      <w:r w:rsidR="003E4A91" w:rsidRPr="000F005D">
        <w:rPr>
          <w:rFonts w:ascii="Arial" w:eastAsiaTheme="minorEastAsia" w:hAnsi="Arial" w:cs="Arial"/>
          <w:sz w:val="20"/>
          <w:szCs w:val="20"/>
          <w:lang w:eastAsia="en-AU"/>
        </w:rPr>
        <w:t xml:space="preserve"> The minimum rate </w:t>
      </w:r>
      <w:r w:rsidR="00657730">
        <w:rPr>
          <w:rFonts w:ascii="Arial" w:eastAsiaTheme="minorEastAsia" w:hAnsi="Arial" w:cs="Arial"/>
          <w:sz w:val="20"/>
          <w:szCs w:val="20"/>
          <w:lang w:eastAsia="en-AU"/>
        </w:rPr>
        <w:t xml:space="preserve">has increased from $1,724 </w:t>
      </w:r>
      <w:r w:rsidR="006E6D7D">
        <w:rPr>
          <w:rFonts w:ascii="Arial" w:eastAsiaTheme="minorEastAsia" w:hAnsi="Arial" w:cs="Arial"/>
          <w:sz w:val="20"/>
          <w:szCs w:val="20"/>
          <w:lang w:eastAsia="en-AU"/>
        </w:rPr>
        <w:t xml:space="preserve">to </w:t>
      </w:r>
      <w:r w:rsidR="006E6D7D" w:rsidRPr="000F005D">
        <w:rPr>
          <w:rFonts w:ascii="Arial" w:eastAsiaTheme="minorEastAsia" w:hAnsi="Arial" w:cs="Arial"/>
          <w:sz w:val="20"/>
          <w:szCs w:val="20"/>
          <w:lang w:eastAsia="en-AU"/>
        </w:rPr>
        <w:t>$</w:t>
      </w:r>
      <w:r w:rsidR="006354A0" w:rsidRPr="00500514">
        <w:rPr>
          <w:rFonts w:ascii="Arial" w:eastAsiaTheme="minorEastAsia" w:hAnsi="Arial" w:cs="Arial"/>
          <w:sz w:val="20"/>
          <w:szCs w:val="20"/>
          <w:lang w:eastAsia="en-AU"/>
        </w:rPr>
        <w:t>1,</w:t>
      </w:r>
      <w:r w:rsidR="00C01E0B" w:rsidRPr="00500514">
        <w:rPr>
          <w:rFonts w:ascii="Arial" w:eastAsiaTheme="minorEastAsia" w:hAnsi="Arial" w:cs="Arial"/>
          <w:sz w:val="20"/>
          <w:szCs w:val="20"/>
          <w:lang w:eastAsia="en-AU"/>
        </w:rPr>
        <w:t>7</w:t>
      </w:r>
      <w:r w:rsidR="00500514" w:rsidRPr="00500514">
        <w:rPr>
          <w:rFonts w:ascii="Arial" w:eastAsiaTheme="minorEastAsia" w:hAnsi="Arial" w:cs="Arial"/>
          <w:sz w:val="20"/>
          <w:szCs w:val="20"/>
          <w:lang w:eastAsia="en-AU"/>
        </w:rPr>
        <w:t>50</w:t>
      </w:r>
      <w:r w:rsidR="005F1B35">
        <w:rPr>
          <w:rFonts w:ascii="Arial" w:eastAsiaTheme="minorEastAsia" w:hAnsi="Arial" w:cs="Arial"/>
          <w:sz w:val="20"/>
          <w:szCs w:val="20"/>
          <w:lang w:eastAsia="en-AU"/>
        </w:rPr>
        <w:t>,</w:t>
      </w:r>
      <w:r w:rsidR="003E4A91" w:rsidRPr="000F005D">
        <w:rPr>
          <w:rFonts w:ascii="Arial" w:eastAsiaTheme="minorEastAsia" w:hAnsi="Arial" w:cs="Arial"/>
          <w:sz w:val="20"/>
          <w:szCs w:val="20"/>
          <w:lang w:eastAsia="en-AU"/>
        </w:rPr>
        <w:t xml:space="preserve"> to ensure that all ratepayers make a reasonable contribution for basic services and infrastructure.</w:t>
      </w:r>
    </w:p>
    <w:p w14:paraId="5EC23506" w14:textId="77777777" w:rsidR="00451EC2" w:rsidRPr="00604354" w:rsidRDefault="00451EC2" w:rsidP="00622E07">
      <w:pPr>
        <w:pStyle w:val="NoSpacing"/>
        <w:jc w:val="both"/>
        <w:rPr>
          <w:rFonts w:ascii="Arial" w:hAnsi="Arial" w:cs="Arial"/>
          <w:sz w:val="20"/>
          <w:szCs w:val="20"/>
        </w:rPr>
      </w:pPr>
    </w:p>
    <w:p w14:paraId="5B79092F" w14:textId="2B7046E8" w:rsidR="00604354" w:rsidRDefault="00F23C4C" w:rsidP="00604354">
      <w:pPr>
        <w:spacing w:after="0" w:line="240" w:lineRule="auto"/>
        <w:jc w:val="both"/>
        <w:rPr>
          <w:rFonts w:ascii="Arial" w:hAnsi="Arial" w:cs="Arial"/>
          <w:sz w:val="20"/>
          <w:szCs w:val="20"/>
        </w:rPr>
      </w:pPr>
      <w:r>
        <w:rPr>
          <w:rFonts w:ascii="Arial" w:hAnsi="Arial" w:cs="Arial"/>
          <w:b/>
          <w:sz w:val="20"/>
          <w:szCs w:val="20"/>
        </w:rPr>
        <w:t>Commercial</w:t>
      </w:r>
      <w:r w:rsidR="00E05A1C">
        <w:rPr>
          <w:rFonts w:ascii="Arial" w:hAnsi="Arial" w:cs="Arial"/>
          <w:b/>
          <w:sz w:val="20"/>
          <w:szCs w:val="20"/>
        </w:rPr>
        <w:t xml:space="preserve">/Industrial </w:t>
      </w:r>
      <w:r w:rsidR="00604354" w:rsidRPr="00604354">
        <w:rPr>
          <w:rFonts w:ascii="Arial" w:hAnsi="Arial" w:cs="Arial"/>
          <w:b/>
          <w:sz w:val="20"/>
          <w:szCs w:val="20"/>
        </w:rPr>
        <w:t xml:space="preserve">– </w:t>
      </w:r>
      <w:r w:rsidR="00604354" w:rsidRPr="00604354">
        <w:rPr>
          <w:rFonts w:ascii="Arial" w:hAnsi="Arial" w:cs="Arial"/>
          <w:sz w:val="20"/>
          <w:szCs w:val="20"/>
        </w:rPr>
        <w:t>means any land:</w:t>
      </w:r>
    </w:p>
    <w:p w14:paraId="4D624064" w14:textId="77777777" w:rsidR="00604354" w:rsidRPr="00604354" w:rsidRDefault="00604354" w:rsidP="00A474C7">
      <w:pPr>
        <w:pStyle w:val="ListParagraph"/>
        <w:numPr>
          <w:ilvl w:val="0"/>
          <w:numId w:val="2"/>
        </w:numPr>
        <w:jc w:val="both"/>
        <w:rPr>
          <w:rFonts w:cs="Arial"/>
          <w:szCs w:val="20"/>
        </w:rPr>
      </w:pPr>
      <w:r w:rsidRPr="00604354">
        <w:rPr>
          <w:rFonts w:cs="Arial"/>
          <w:szCs w:val="20"/>
        </w:rPr>
        <w:t>that is predominately used for either:</w:t>
      </w:r>
    </w:p>
    <w:p w14:paraId="4D4D20E2" w14:textId="3AE9E450" w:rsidR="00604354" w:rsidRPr="00604354" w:rsidRDefault="00604354" w:rsidP="00604354">
      <w:pPr>
        <w:pStyle w:val="ListParagraph"/>
        <w:numPr>
          <w:ilvl w:val="1"/>
          <w:numId w:val="2"/>
        </w:numPr>
        <w:jc w:val="both"/>
        <w:rPr>
          <w:rFonts w:cs="Arial"/>
          <w:szCs w:val="20"/>
        </w:rPr>
      </w:pPr>
      <w:r w:rsidRPr="00604354">
        <w:rPr>
          <w:rFonts w:cs="Arial"/>
          <w:szCs w:val="20"/>
        </w:rPr>
        <w:t xml:space="preserve">commercial </w:t>
      </w:r>
      <w:r w:rsidR="00E15163" w:rsidRPr="00604354">
        <w:rPr>
          <w:rFonts w:cs="Arial"/>
          <w:szCs w:val="20"/>
        </w:rPr>
        <w:t>purposes.</w:t>
      </w:r>
      <w:r w:rsidRPr="00604354">
        <w:rPr>
          <w:rFonts w:cs="Arial"/>
          <w:szCs w:val="20"/>
        </w:rPr>
        <w:t xml:space="preserve"> </w:t>
      </w:r>
    </w:p>
    <w:p w14:paraId="22F34ECD" w14:textId="2ACF35AC" w:rsidR="00604354" w:rsidRDefault="00604354" w:rsidP="00604354">
      <w:pPr>
        <w:pStyle w:val="ListParagraph"/>
        <w:numPr>
          <w:ilvl w:val="1"/>
          <w:numId w:val="2"/>
        </w:numPr>
        <w:jc w:val="both"/>
        <w:rPr>
          <w:rFonts w:cs="Arial"/>
          <w:szCs w:val="20"/>
        </w:rPr>
      </w:pPr>
      <w:r w:rsidRPr="00604354">
        <w:rPr>
          <w:rFonts w:cs="Arial"/>
          <w:szCs w:val="20"/>
        </w:rPr>
        <w:t xml:space="preserve">tourism </w:t>
      </w:r>
      <w:r w:rsidR="00E15163" w:rsidRPr="00604354">
        <w:rPr>
          <w:rFonts w:cs="Arial"/>
          <w:szCs w:val="20"/>
        </w:rPr>
        <w:t>purposes.</w:t>
      </w:r>
      <w:r w:rsidRPr="00604354">
        <w:rPr>
          <w:rFonts w:cs="Arial"/>
          <w:szCs w:val="20"/>
        </w:rPr>
        <w:t xml:space="preserve"> </w:t>
      </w:r>
    </w:p>
    <w:p w14:paraId="6B22DA00" w14:textId="5576A18A" w:rsidR="00E05A1C" w:rsidRPr="00604354" w:rsidRDefault="00E05A1C" w:rsidP="00E05A1C">
      <w:pPr>
        <w:pStyle w:val="ListParagraph"/>
        <w:numPr>
          <w:ilvl w:val="1"/>
          <w:numId w:val="2"/>
        </w:numPr>
        <w:jc w:val="both"/>
        <w:rPr>
          <w:rFonts w:cs="Arial"/>
          <w:szCs w:val="20"/>
        </w:rPr>
      </w:pPr>
      <w:r w:rsidRPr="00604354">
        <w:rPr>
          <w:rFonts w:cs="Arial"/>
          <w:szCs w:val="20"/>
        </w:rPr>
        <w:t xml:space="preserve">industrial </w:t>
      </w:r>
      <w:r w:rsidR="00E15163" w:rsidRPr="00604354">
        <w:rPr>
          <w:rFonts w:cs="Arial"/>
          <w:szCs w:val="20"/>
        </w:rPr>
        <w:t>purposes.</w:t>
      </w:r>
      <w:r w:rsidRPr="00604354">
        <w:rPr>
          <w:rFonts w:cs="Arial"/>
          <w:szCs w:val="20"/>
        </w:rPr>
        <w:t xml:space="preserve"> </w:t>
      </w:r>
    </w:p>
    <w:p w14:paraId="33120F70" w14:textId="3FD2E5F7" w:rsidR="00604354" w:rsidRDefault="00604354" w:rsidP="00604354">
      <w:pPr>
        <w:pStyle w:val="ListParagraph"/>
        <w:numPr>
          <w:ilvl w:val="1"/>
          <w:numId w:val="2"/>
        </w:numPr>
        <w:jc w:val="both"/>
        <w:rPr>
          <w:rFonts w:cs="Arial"/>
          <w:szCs w:val="20"/>
        </w:rPr>
      </w:pPr>
      <w:r w:rsidRPr="00604354">
        <w:rPr>
          <w:rFonts w:cs="Arial"/>
          <w:szCs w:val="20"/>
        </w:rPr>
        <w:t xml:space="preserve">a combination of </w:t>
      </w:r>
      <w:r w:rsidR="00E05A1C">
        <w:rPr>
          <w:rFonts w:cs="Arial"/>
          <w:szCs w:val="20"/>
        </w:rPr>
        <w:t xml:space="preserve">industrial, </w:t>
      </w:r>
      <w:r w:rsidRPr="00604354">
        <w:rPr>
          <w:rFonts w:cs="Arial"/>
          <w:szCs w:val="20"/>
        </w:rPr>
        <w:t xml:space="preserve">commercial and tourism </w:t>
      </w:r>
      <w:r w:rsidR="00E15163" w:rsidRPr="00604354">
        <w:rPr>
          <w:rFonts w:cs="Arial"/>
          <w:szCs w:val="20"/>
        </w:rPr>
        <w:t>purposes.</w:t>
      </w:r>
      <w:r w:rsidRPr="00604354">
        <w:rPr>
          <w:rFonts w:cs="Arial"/>
          <w:szCs w:val="20"/>
        </w:rPr>
        <w:t xml:space="preserve"> </w:t>
      </w:r>
    </w:p>
    <w:p w14:paraId="56E702A5" w14:textId="77777777" w:rsidR="00307D36" w:rsidRPr="00305727" w:rsidRDefault="00307D36" w:rsidP="003C6D47">
      <w:pPr>
        <w:pStyle w:val="NoSpacing"/>
        <w:spacing w:before="60" w:after="60"/>
        <w:ind w:firstLine="720"/>
        <w:rPr>
          <w:rFonts w:cs="Arial"/>
          <w:b/>
          <w:szCs w:val="20"/>
        </w:rPr>
      </w:pPr>
      <w:r w:rsidRPr="00305727">
        <w:rPr>
          <w:rFonts w:ascii="Arial" w:hAnsi="Arial" w:cs="Arial"/>
          <w:b/>
          <w:sz w:val="20"/>
          <w:szCs w:val="20"/>
        </w:rPr>
        <w:t>or</w:t>
      </w:r>
    </w:p>
    <w:p w14:paraId="775D4E4D" w14:textId="77777777" w:rsidR="00307D36" w:rsidRDefault="00307D36" w:rsidP="00307D36">
      <w:pPr>
        <w:pStyle w:val="NoSpacing"/>
        <w:numPr>
          <w:ilvl w:val="0"/>
          <w:numId w:val="2"/>
        </w:numPr>
        <w:jc w:val="both"/>
        <w:rPr>
          <w:rFonts w:ascii="Arial" w:hAnsi="Arial" w:cs="Arial"/>
          <w:sz w:val="20"/>
          <w:szCs w:val="20"/>
        </w:rPr>
      </w:pPr>
      <w:r w:rsidRPr="00604354">
        <w:rPr>
          <w:rFonts w:ascii="Arial" w:hAnsi="Arial" w:cs="Arial"/>
          <w:sz w:val="20"/>
          <w:szCs w:val="20"/>
        </w:rPr>
        <w:t xml:space="preserve">which is vacant of any construction, and is zoned as </w:t>
      </w:r>
      <w:r>
        <w:rPr>
          <w:rFonts w:ascii="Arial" w:hAnsi="Arial" w:cs="Arial"/>
          <w:sz w:val="20"/>
          <w:szCs w:val="20"/>
        </w:rPr>
        <w:t>Commercial, Tourism</w:t>
      </w:r>
      <w:r w:rsidR="00E05A1C">
        <w:rPr>
          <w:rFonts w:ascii="Arial" w:hAnsi="Arial" w:cs="Arial"/>
          <w:sz w:val="20"/>
          <w:szCs w:val="20"/>
        </w:rPr>
        <w:t>,</w:t>
      </w:r>
      <w:r>
        <w:rPr>
          <w:rFonts w:ascii="Arial" w:hAnsi="Arial" w:cs="Arial"/>
          <w:sz w:val="20"/>
          <w:szCs w:val="20"/>
        </w:rPr>
        <w:t xml:space="preserve"> Town Centre</w:t>
      </w:r>
      <w:r w:rsidR="00E05A1C">
        <w:rPr>
          <w:rFonts w:ascii="Arial" w:hAnsi="Arial" w:cs="Arial"/>
          <w:sz w:val="20"/>
          <w:szCs w:val="20"/>
        </w:rPr>
        <w:t>, Industrial or Mixed Business</w:t>
      </w:r>
      <w:r w:rsidRPr="00604354">
        <w:rPr>
          <w:rFonts w:ascii="Arial" w:hAnsi="Arial" w:cs="Arial"/>
          <w:sz w:val="20"/>
          <w:szCs w:val="20"/>
        </w:rPr>
        <w:t xml:space="preserve"> under the City</w:t>
      </w:r>
      <w:r>
        <w:rPr>
          <w:rFonts w:ascii="Arial" w:hAnsi="Arial" w:cs="Arial"/>
          <w:sz w:val="20"/>
          <w:szCs w:val="20"/>
        </w:rPr>
        <w:t xml:space="preserve">’s </w:t>
      </w:r>
      <w:r w:rsidRPr="00604354">
        <w:rPr>
          <w:rFonts w:ascii="Arial" w:hAnsi="Arial" w:cs="Arial"/>
          <w:sz w:val="20"/>
          <w:szCs w:val="20"/>
        </w:rPr>
        <w:t>Planning Scheme</w:t>
      </w:r>
      <w:r>
        <w:rPr>
          <w:rFonts w:ascii="Arial" w:hAnsi="Arial" w:cs="Arial"/>
          <w:sz w:val="20"/>
          <w:szCs w:val="20"/>
        </w:rPr>
        <w:t>.</w:t>
      </w:r>
    </w:p>
    <w:p w14:paraId="5191E26C" w14:textId="77777777" w:rsidR="00604354" w:rsidRPr="00604354" w:rsidRDefault="00604354" w:rsidP="00305727">
      <w:pPr>
        <w:pStyle w:val="NoSpacing"/>
        <w:spacing w:before="60" w:after="60"/>
        <w:ind w:left="720"/>
        <w:rPr>
          <w:rFonts w:ascii="Arial" w:hAnsi="Arial" w:cs="Arial"/>
          <w:b/>
          <w:sz w:val="20"/>
          <w:szCs w:val="20"/>
        </w:rPr>
      </w:pPr>
      <w:r w:rsidRPr="00604354">
        <w:rPr>
          <w:rFonts w:ascii="Arial" w:hAnsi="Arial" w:cs="Arial"/>
          <w:b/>
          <w:sz w:val="20"/>
          <w:szCs w:val="20"/>
        </w:rPr>
        <w:t>or</w:t>
      </w:r>
    </w:p>
    <w:p w14:paraId="64A82C36" w14:textId="77777777" w:rsidR="00604354" w:rsidRDefault="00604354" w:rsidP="00604354">
      <w:pPr>
        <w:pStyle w:val="ListParagraph"/>
        <w:numPr>
          <w:ilvl w:val="0"/>
          <w:numId w:val="2"/>
        </w:numPr>
        <w:jc w:val="both"/>
        <w:rPr>
          <w:rFonts w:cs="Arial"/>
          <w:szCs w:val="20"/>
        </w:rPr>
      </w:pPr>
      <w:r w:rsidRPr="00604354">
        <w:rPr>
          <w:rFonts w:cs="Arial"/>
          <w:szCs w:val="20"/>
        </w:rPr>
        <w:t>that does not have the characteristics of any other GRV differential rate category.</w:t>
      </w:r>
    </w:p>
    <w:p w14:paraId="22B511CC" w14:textId="77777777" w:rsidR="00372BF5" w:rsidRDefault="00372BF5" w:rsidP="00850A3A">
      <w:pPr>
        <w:spacing w:after="0" w:line="240" w:lineRule="auto"/>
        <w:ind w:left="720"/>
        <w:jc w:val="both"/>
        <w:rPr>
          <w:rFonts w:cs="Arial"/>
          <w:szCs w:val="20"/>
        </w:rPr>
      </w:pPr>
    </w:p>
    <w:p w14:paraId="17789475" w14:textId="267EBCB0" w:rsidR="00686B0A" w:rsidRPr="00633BBE" w:rsidRDefault="00686B0A" w:rsidP="00715762">
      <w:pPr>
        <w:spacing w:after="0" w:line="240" w:lineRule="auto"/>
        <w:jc w:val="both"/>
        <w:rPr>
          <w:rFonts w:ascii="Arial" w:eastAsiaTheme="minorEastAsia" w:hAnsi="Arial" w:cs="Arial"/>
          <w:sz w:val="20"/>
          <w:szCs w:val="20"/>
          <w:lang w:eastAsia="en-AU"/>
        </w:rPr>
      </w:pPr>
      <w:r>
        <w:rPr>
          <w:rFonts w:ascii="Arial" w:eastAsiaTheme="minorEastAsia" w:hAnsi="Arial" w:cs="Arial"/>
          <w:sz w:val="20"/>
          <w:szCs w:val="20"/>
          <w:lang w:eastAsia="en-AU"/>
        </w:rPr>
        <w:lastRenderedPageBreak/>
        <w:t xml:space="preserve">The </w:t>
      </w:r>
      <w:r w:rsidR="0092489E">
        <w:rPr>
          <w:rFonts w:ascii="Arial" w:eastAsiaTheme="minorEastAsia" w:hAnsi="Arial" w:cs="Arial"/>
          <w:sz w:val="20"/>
          <w:szCs w:val="20"/>
          <w:lang w:eastAsia="en-AU"/>
        </w:rPr>
        <w:t>reason for the rate in the dollar for this category is</w:t>
      </w:r>
      <w:r w:rsidR="00307D36">
        <w:rPr>
          <w:rFonts w:ascii="Arial" w:eastAsiaTheme="minorEastAsia" w:hAnsi="Arial" w:cs="Arial"/>
          <w:sz w:val="20"/>
          <w:szCs w:val="20"/>
          <w:lang w:eastAsia="en-AU"/>
        </w:rPr>
        <w:t xml:space="preserve"> </w:t>
      </w:r>
      <w:r w:rsidR="00981941">
        <w:rPr>
          <w:rFonts w:ascii="Arial" w:eastAsiaTheme="minorEastAsia" w:hAnsi="Arial" w:cs="Arial"/>
          <w:sz w:val="20"/>
          <w:szCs w:val="20"/>
          <w:lang w:eastAsia="en-AU"/>
        </w:rPr>
        <w:t xml:space="preserve">to recognise a greater share of costs associated </w:t>
      </w:r>
      <w:r w:rsidR="00307D36" w:rsidRPr="00633BBE">
        <w:rPr>
          <w:rFonts w:ascii="Arial" w:eastAsiaTheme="minorEastAsia" w:hAnsi="Arial" w:cs="Arial"/>
          <w:sz w:val="20"/>
          <w:szCs w:val="20"/>
          <w:lang w:eastAsia="en-AU"/>
        </w:rPr>
        <w:t xml:space="preserve">with </w:t>
      </w:r>
      <w:r w:rsidR="00981941" w:rsidRPr="00633BBE">
        <w:rPr>
          <w:rFonts w:ascii="Arial" w:eastAsiaTheme="minorEastAsia" w:hAnsi="Arial" w:cs="Arial"/>
          <w:sz w:val="20"/>
          <w:szCs w:val="20"/>
          <w:lang w:eastAsia="en-AU"/>
        </w:rPr>
        <w:t>economic development, tourism and marketing, parking</w:t>
      </w:r>
      <w:r w:rsidR="000D3FAC" w:rsidRPr="00633BBE">
        <w:rPr>
          <w:rFonts w:ascii="Arial" w:eastAsiaTheme="minorEastAsia" w:hAnsi="Arial" w:cs="Arial"/>
          <w:sz w:val="20"/>
          <w:szCs w:val="20"/>
          <w:lang w:eastAsia="en-AU"/>
        </w:rPr>
        <w:t xml:space="preserve">, </w:t>
      </w:r>
      <w:r w:rsidR="00532898" w:rsidRPr="00633BBE">
        <w:rPr>
          <w:rFonts w:ascii="Arial" w:eastAsiaTheme="minorEastAsia" w:hAnsi="Arial" w:cs="Arial"/>
          <w:sz w:val="20"/>
          <w:szCs w:val="20"/>
          <w:lang w:eastAsia="en-AU"/>
        </w:rPr>
        <w:t xml:space="preserve">LIA infrastructure, </w:t>
      </w:r>
      <w:r w:rsidR="000D3FAC" w:rsidRPr="00633BBE">
        <w:rPr>
          <w:rFonts w:ascii="Arial" w:eastAsiaTheme="minorEastAsia" w:hAnsi="Arial" w:cs="Arial"/>
          <w:sz w:val="20"/>
          <w:szCs w:val="20"/>
          <w:lang w:eastAsia="en-AU"/>
        </w:rPr>
        <w:t xml:space="preserve">environmental health </w:t>
      </w:r>
      <w:r w:rsidR="00532898" w:rsidRPr="00633BBE">
        <w:rPr>
          <w:rFonts w:ascii="Arial" w:eastAsiaTheme="minorEastAsia" w:hAnsi="Arial" w:cs="Arial"/>
          <w:sz w:val="20"/>
          <w:szCs w:val="20"/>
          <w:lang w:eastAsia="en-AU"/>
        </w:rPr>
        <w:t xml:space="preserve">and regulatory services, and </w:t>
      </w:r>
      <w:r w:rsidR="000D3FAC" w:rsidRPr="00633BBE">
        <w:rPr>
          <w:rFonts w:ascii="Arial" w:eastAsiaTheme="minorEastAsia" w:hAnsi="Arial" w:cs="Arial"/>
          <w:sz w:val="20"/>
          <w:szCs w:val="20"/>
          <w:lang w:eastAsia="en-AU"/>
        </w:rPr>
        <w:t xml:space="preserve">CBD </w:t>
      </w:r>
      <w:r w:rsidR="00981941" w:rsidRPr="00633BBE">
        <w:rPr>
          <w:rFonts w:ascii="Arial" w:eastAsiaTheme="minorEastAsia" w:hAnsi="Arial" w:cs="Arial"/>
          <w:sz w:val="20"/>
          <w:szCs w:val="20"/>
          <w:lang w:eastAsia="en-AU"/>
        </w:rPr>
        <w:t>infrastructure and amenity.</w:t>
      </w:r>
      <w:r w:rsidR="00102F27" w:rsidRPr="00633BBE">
        <w:t xml:space="preserve"> </w:t>
      </w:r>
      <w:r w:rsidR="00102F27" w:rsidRPr="00633BBE">
        <w:rPr>
          <w:rFonts w:ascii="Arial" w:hAnsi="Arial" w:cs="Arial"/>
          <w:sz w:val="20"/>
          <w:szCs w:val="20"/>
        </w:rPr>
        <w:t>The objective is to raise revenue to contribute toward associated costs, but not limited to, rubbish collection in relevant areas, town planning control costs, health inspections and administration costs, complexity in building control, traffic volumes and vehicle mass due to commercial and industrial activity, parking facilities, traffic management, pedestrian access, commercial and industrial signage, visitor servicing and street furniture</w:t>
      </w:r>
      <w:r w:rsidR="00791B36">
        <w:rPr>
          <w:rFonts w:ascii="Arial" w:hAnsi="Arial" w:cs="Arial"/>
          <w:sz w:val="20"/>
          <w:szCs w:val="20"/>
        </w:rPr>
        <w:t>.</w:t>
      </w:r>
    </w:p>
    <w:p w14:paraId="07E3FBB6" w14:textId="77777777" w:rsidR="007F5C4E" w:rsidRDefault="007F5C4E" w:rsidP="00715762">
      <w:pPr>
        <w:spacing w:after="0" w:line="240" w:lineRule="auto"/>
        <w:jc w:val="both"/>
        <w:rPr>
          <w:rFonts w:ascii="Arial" w:eastAsiaTheme="minorEastAsia" w:hAnsi="Arial" w:cs="Arial"/>
          <w:sz w:val="20"/>
          <w:szCs w:val="20"/>
          <w:lang w:eastAsia="en-AU"/>
        </w:rPr>
      </w:pPr>
    </w:p>
    <w:p w14:paraId="503C393A" w14:textId="056889D7" w:rsidR="007F5C4E" w:rsidRDefault="007F5C4E" w:rsidP="007F5C4E">
      <w:pPr>
        <w:spacing w:after="0" w:line="240" w:lineRule="auto"/>
        <w:jc w:val="both"/>
        <w:rPr>
          <w:rFonts w:ascii="Arial" w:eastAsiaTheme="minorEastAsia" w:hAnsi="Arial" w:cs="Arial"/>
          <w:sz w:val="20"/>
          <w:szCs w:val="20"/>
          <w:lang w:eastAsia="en-AU"/>
        </w:rPr>
      </w:pPr>
      <w:r>
        <w:rPr>
          <w:rFonts w:ascii="Arial" w:eastAsiaTheme="minorEastAsia" w:hAnsi="Arial" w:cs="Arial"/>
          <w:sz w:val="20"/>
          <w:szCs w:val="20"/>
          <w:lang w:eastAsia="en-AU"/>
        </w:rPr>
        <w:t xml:space="preserve">Council is focussed on sustainably managing its community and infrastructure assets through the funding of renewal and replacement asset programs. These programs include </w:t>
      </w:r>
      <w:r w:rsidR="00307D36">
        <w:rPr>
          <w:rFonts w:ascii="Arial" w:eastAsiaTheme="minorEastAsia" w:hAnsi="Arial" w:cs="Arial"/>
          <w:sz w:val="20"/>
          <w:szCs w:val="20"/>
          <w:lang w:eastAsia="en-AU"/>
        </w:rPr>
        <w:t xml:space="preserve">but are not limited to </w:t>
      </w:r>
      <w:r>
        <w:rPr>
          <w:rFonts w:ascii="Arial" w:eastAsiaTheme="minorEastAsia" w:hAnsi="Arial" w:cs="Arial"/>
          <w:sz w:val="20"/>
          <w:szCs w:val="20"/>
          <w:lang w:eastAsia="en-AU"/>
        </w:rPr>
        <w:t>investment in the resealing of roads</w:t>
      </w:r>
      <w:r w:rsidR="00532898">
        <w:rPr>
          <w:rFonts w:ascii="Arial" w:eastAsiaTheme="minorEastAsia" w:hAnsi="Arial" w:cs="Arial"/>
          <w:sz w:val="20"/>
          <w:szCs w:val="20"/>
          <w:lang w:eastAsia="en-AU"/>
        </w:rPr>
        <w:t xml:space="preserve"> (including reconstruction of major distributor roads within the LIA) and</w:t>
      </w:r>
      <w:r>
        <w:rPr>
          <w:rFonts w:ascii="Arial" w:eastAsiaTheme="minorEastAsia" w:hAnsi="Arial" w:cs="Arial"/>
          <w:sz w:val="20"/>
          <w:szCs w:val="20"/>
          <w:lang w:eastAsia="en-AU"/>
        </w:rPr>
        <w:t xml:space="preserve"> replacement and development of footpath</w:t>
      </w:r>
      <w:r w:rsidR="00532898">
        <w:rPr>
          <w:rFonts w:ascii="Arial" w:eastAsiaTheme="minorEastAsia" w:hAnsi="Arial" w:cs="Arial"/>
          <w:sz w:val="20"/>
          <w:szCs w:val="20"/>
          <w:lang w:eastAsia="en-AU"/>
        </w:rPr>
        <w:t>s</w:t>
      </w:r>
      <w:r>
        <w:rPr>
          <w:rFonts w:ascii="Arial" w:eastAsiaTheme="minorEastAsia" w:hAnsi="Arial" w:cs="Arial"/>
          <w:sz w:val="20"/>
          <w:szCs w:val="20"/>
          <w:lang w:eastAsia="en-AU"/>
        </w:rPr>
        <w:t>.</w:t>
      </w:r>
    </w:p>
    <w:p w14:paraId="316C442E" w14:textId="77777777" w:rsidR="00686B0A" w:rsidRDefault="00686B0A" w:rsidP="00715762">
      <w:pPr>
        <w:spacing w:after="0" w:line="240" w:lineRule="auto"/>
        <w:jc w:val="both"/>
        <w:rPr>
          <w:rFonts w:ascii="Arial" w:eastAsiaTheme="minorEastAsia" w:hAnsi="Arial" w:cs="Arial"/>
          <w:sz w:val="20"/>
          <w:szCs w:val="20"/>
          <w:lang w:eastAsia="en-AU"/>
        </w:rPr>
      </w:pPr>
    </w:p>
    <w:p w14:paraId="218077F2" w14:textId="063D8616" w:rsidR="00715762" w:rsidRDefault="00632E36" w:rsidP="00715762">
      <w:pPr>
        <w:spacing w:after="0" w:line="240" w:lineRule="auto"/>
        <w:jc w:val="both"/>
        <w:rPr>
          <w:rFonts w:ascii="Arial" w:eastAsiaTheme="minorEastAsia" w:hAnsi="Arial" w:cs="Arial"/>
          <w:sz w:val="20"/>
          <w:szCs w:val="20"/>
          <w:lang w:eastAsia="en-AU"/>
        </w:rPr>
      </w:pPr>
      <w:r w:rsidRPr="000F005D">
        <w:rPr>
          <w:rFonts w:ascii="Arial" w:eastAsiaTheme="minorEastAsia" w:hAnsi="Arial" w:cs="Arial"/>
          <w:sz w:val="20"/>
          <w:szCs w:val="20"/>
          <w:lang w:eastAsia="en-AU"/>
        </w:rPr>
        <w:t xml:space="preserve">The rate for this category </w:t>
      </w:r>
      <w:r>
        <w:rPr>
          <w:rFonts w:ascii="Arial" w:eastAsiaTheme="minorEastAsia" w:hAnsi="Arial" w:cs="Arial"/>
          <w:sz w:val="20"/>
          <w:szCs w:val="20"/>
          <w:lang w:eastAsia="en-AU"/>
        </w:rPr>
        <w:t>reduces</w:t>
      </w:r>
      <w:r w:rsidRPr="000F005D">
        <w:rPr>
          <w:rFonts w:ascii="Arial" w:eastAsiaTheme="minorEastAsia" w:hAnsi="Arial" w:cs="Arial"/>
          <w:sz w:val="20"/>
          <w:szCs w:val="20"/>
          <w:lang w:eastAsia="en-AU"/>
        </w:rPr>
        <w:t xml:space="preserve"> </w:t>
      </w:r>
      <w:r>
        <w:rPr>
          <w:rFonts w:ascii="Arial" w:eastAsiaTheme="minorEastAsia" w:hAnsi="Arial" w:cs="Arial"/>
          <w:sz w:val="20"/>
          <w:szCs w:val="20"/>
          <w:lang w:eastAsia="en-AU"/>
        </w:rPr>
        <w:t xml:space="preserve">the rate yield from 2024/25 </w:t>
      </w:r>
      <w:r w:rsidR="00901C5B">
        <w:rPr>
          <w:rFonts w:ascii="Arial" w:eastAsiaTheme="minorEastAsia" w:hAnsi="Arial" w:cs="Arial"/>
          <w:sz w:val="20"/>
          <w:szCs w:val="20"/>
          <w:lang w:eastAsia="en-AU"/>
        </w:rPr>
        <w:t>of $9.8m to $9.6</w:t>
      </w:r>
      <w:r w:rsidR="002569CB">
        <w:rPr>
          <w:rFonts w:ascii="Arial" w:eastAsiaTheme="minorEastAsia" w:hAnsi="Arial" w:cs="Arial"/>
          <w:sz w:val="20"/>
          <w:szCs w:val="20"/>
          <w:lang w:eastAsia="en-AU"/>
        </w:rPr>
        <w:t>m as a result of the variation to property</w:t>
      </w:r>
      <w:r>
        <w:rPr>
          <w:rFonts w:ascii="Arial" w:eastAsiaTheme="minorEastAsia" w:hAnsi="Arial" w:cs="Arial"/>
          <w:sz w:val="20"/>
          <w:szCs w:val="20"/>
          <w:lang w:eastAsia="en-AU"/>
        </w:rPr>
        <w:t xml:space="preserve"> valuations</w:t>
      </w:r>
      <w:r w:rsidR="002569CB">
        <w:rPr>
          <w:rFonts w:ascii="Arial" w:eastAsiaTheme="minorEastAsia" w:hAnsi="Arial" w:cs="Arial"/>
          <w:sz w:val="20"/>
          <w:szCs w:val="20"/>
          <w:lang w:eastAsia="en-AU"/>
        </w:rPr>
        <w:t>.</w:t>
      </w:r>
      <w:r w:rsidRPr="000F005D">
        <w:rPr>
          <w:rFonts w:ascii="Arial" w:eastAsiaTheme="minorEastAsia" w:hAnsi="Arial" w:cs="Arial"/>
          <w:sz w:val="20"/>
          <w:szCs w:val="20"/>
          <w:lang w:eastAsia="en-AU"/>
        </w:rPr>
        <w:t xml:space="preserve"> </w:t>
      </w:r>
      <w:r w:rsidR="00715762" w:rsidRPr="000F005D">
        <w:rPr>
          <w:rFonts w:ascii="Arial" w:eastAsiaTheme="minorEastAsia" w:hAnsi="Arial" w:cs="Arial"/>
          <w:sz w:val="20"/>
          <w:szCs w:val="20"/>
          <w:lang w:eastAsia="en-AU"/>
        </w:rPr>
        <w:t xml:space="preserve">The rate for this category </w:t>
      </w:r>
      <w:r w:rsidR="00542236">
        <w:rPr>
          <w:rFonts w:ascii="Arial" w:eastAsiaTheme="minorEastAsia" w:hAnsi="Arial" w:cs="Arial"/>
          <w:sz w:val="20"/>
          <w:szCs w:val="20"/>
          <w:lang w:eastAsia="en-AU"/>
        </w:rPr>
        <w:t>has</w:t>
      </w:r>
      <w:r w:rsidR="00CF36CB">
        <w:rPr>
          <w:rFonts w:ascii="Arial" w:eastAsiaTheme="minorEastAsia" w:hAnsi="Arial" w:cs="Arial"/>
          <w:sz w:val="20"/>
          <w:szCs w:val="20"/>
          <w:lang w:eastAsia="en-AU"/>
        </w:rPr>
        <w:t xml:space="preserve"> </w:t>
      </w:r>
      <w:r w:rsidR="004850C3">
        <w:rPr>
          <w:rFonts w:ascii="Arial" w:eastAsiaTheme="minorEastAsia" w:hAnsi="Arial" w:cs="Arial"/>
          <w:sz w:val="20"/>
          <w:szCs w:val="20"/>
          <w:lang w:eastAsia="en-AU"/>
        </w:rPr>
        <w:t xml:space="preserve">a </w:t>
      </w:r>
      <w:r w:rsidR="005F1804">
        <w:rPr>
          <w:rFonts w:ascii="Arial" w:eastAsiaTheme="minorEastAsia" w:hAnsi="Arial" w:cs="Arial"/>
          <w:sz w:val="20"/>
          <w:szCs w:val="20"/>
          <w:lang w:eastAsia="en-AU"/>
        </w:rPr>
        <w:t>de</w:t>
      </w:r>
      <w:r w:rsidR="00715762" w:rsidRPr="000F005D">
        <w:rPr>
          <w:rFonts w:ascii="Arial" w:eastAsiaTheme="minorEastAsia" w:hAnsi="Arial" w:cs="Arial"/>
          <w:sz w:val="20"/>
          <w:szCs w:val="20"/>
          <w:lang w:eastAsia="en-AU"/>
        </w:rPr>
        <w:t xml:space="preserve">crease to the average rate </w:t>
      </w:r>
      <w:r w:rsidR="00683F10">
        <w:rPr>
          <w:rFonts w:ascii="Arial" w:eastAsiaTheme="minorEastAsia" w:hAnsi="Arial" w:cs="Arial"/>
          <w:sz w:val="20"/>
          <w:szCs w:val="20"/>
          <w:lang w:eastAsia="en-AU"/>
        </w:rPr>
        <w:t>per</w:t>
      </w:r>
      <w:r w:rsidR="00715762" w:rsidRPr="000F005D">
        <w:rPr>
          <w:rFonts w:ascii="Arial" w:eastAsiaTheme="minorEastAsia" w:hAnsi="Arial" w:cs="Arial"/>
          <w:sz w:val="20"/>
          <w:szCs w:val="20"/>
          <w:lang w:eastAsia="en-AU"/>
        </w:rPr>
        <w:t xml:space="preserve"> propert</w:t>
      </w:r>
      <w:r w:rsidR="00683F10">
        <w:rPr>
          <w:rFonts w:ascii="Arial" w:eastAsiaTheme="minorEastAsia" w:hAnsi="Arial" w:cs="Arial"/>
          <w:sz w:val="20"/>
          <w:szCs w:val="20"/>
          <w:lang w:eastAsia="en-AU"/>
        </w:rPr>
        <w:t>y</w:t>
      </w:r>
      <w:r w:rsidR="00715762" w:rsidRPr="000F005D">
        <w:rPr>
          <w:rFonts w:ascii="Arial" w:eastAsiaTheme="minorEastAsia" w:hAnsi="Arial" w:cs="Arial"/>
          <w:sz w:val="20"/>
          <w:szCs w:val="20"/>
          <w:lang w:eastAsia="en-AU"/>
        </w:rPr>
        <w:t xml:space="preserve"> </w:t>
      </w:r>
      <w:r w:rsidR="00715762" w:rsidRPr="00791B36">
        <w:rPr>
          <w:rFonts w:ascii="Arial" w:eastAsiaTheme="minorEastAsia" w:hAnsi="Arial" w:cs="Arial"/>
          <w:sz w:val="20"/>
          <w:szCs w:val="20"/>
          <w:lang w:eastAsia="en-AU"/>
        </w:rPr>
        <w:t xml:space="preserve">of </w:t>
      </w:r>
      <w:r w:rsidR="005F1804" w:rsidRPr="005F1804">
        <w:rPr>
          <w:rFonts w:ascii="Arial" w:eastAsiaTheme="minorEastAsia" w:hAnsi="Arial" w:cs="Arial"/>
          <w:sz w:val="20"/>
          <w:szCs w:val="20"/>
          <w:lang w:eastAsia="en-AU"/>
        </w:rPr>
        <w:t>2</w:t>
      </w:r>
      <w:r w:rsidR="004C4712" w:rsidRPr="005F1804">
        <w:rPr>
          <w:rFonts w:ascii="Arial" w:eastAsiaTheme="minorEastAsia" w:hAnsi="Arial" w:cs="Arial"/>
          <w:sz w:val="20"/>
          <w:szCs w:val="20"/>
          <w:lang w:eastAsia="en-AU"/>
        </w:rPr>
        <w:t>.</w:t>
      </w:r>
      <w:r w:rsidR="005B53A1" w:rsidRPr="005F1804">
        <w:rPr>
          <w:rFonts w:ascii="Arial" w:eastAsiaTheme="minorEastAsia" w:hAnsi="Arial" w:cs="Arial"/>
          <w:sz w:val="20"/>
          <w:szCs w:val="20"/>
          <w:lang w:eastAsia="en-AU"/>
        </w:rPr>
        <w:t>0</w:t>
      </w:r>
      <w:r w:rsidR="00575B51" w:rsidRPr="005F1804">
        <w:rPr>
          <w:rFonts w:ascii="Arial" w:eastAsiaTheme="minorEastAsia" w:hAnsi="Arial" w:cs="Arial"/>
          <w:sz w:val="20"/>
          <w:szCs w:val="20"/>
          <w:lang w:eastAsia="en-AU"/>
        </w:rPr>
        <w:t>%</w:t>
      </w:r>
      <w:r w:rsidR="00715762" w:rsidRPr="000F005D">
        <w:rPr>
          <w:rFonts w:ascii="Arial" w:eastAsiaTheme="minorEastAsia" w:hAnsi="Arial" w:cs="Arial"/>
          <w:sz w:val="20"/>
          <w:szCs w:val="20"/>
          <w:lang w:eastAsia="en-AU"/>
        </w:rPr>
        <w:t xml:space="preserve"> </w:t>
      </w:r>
      <w:r w:rsidR="00C45A78" w:rsidRPr="00ED69D1">
        <w:rPr>
          <w:rFonts w:ascii="Arial" w:eastAsiaTheme="minorEastAsia" w:hAnsi="Arial" w:cs="Arial"/>
          <w:sz w:val="20"/>
          <w:szCs w:val="20"/>
          <w:lang w:eastAsia="en-AU"/>
        </w:rPr>
        <w:t xml:space="preserve">with a </w:t>
      </w:r>
      <w:r w:rsidR="00405155">
        <w:rPr>
          <w:rFonts w:ascii="Arial" w:eastAsiaTheme="minorEastAsia" w:hAnsi="Arial" w:cs="Arial"/>
          <w:sz w:val="20"/>
          <w:szCs w:val="20"/>
          <w:lang w:eastAsia="en-AU"/>
        </w:rPr>
        <w:t>subsequent decre</w:t>
      </w:r>
      <w:r w:rsidR="00C45A78" w:rsidRPr="00ED69D1">
        <w:rPr>
          <w:rFonts w:ascii="Arial" w:eastAsiaTheme="minorEastAsia" w:hAnsi="Arial" w:cs="Arial"/>
          <w:sz w:val="20"/>
          <w:szCs w:val="20"/>
          <w:lang w:eastAsia="en-AU"/>
        </w:rPr>
        <w:t xml:space="preserve">ase in the rate-in-the-dollar for the </w:t>
      </w:r>
      <w:r w:rsidR="00C01E0B">
        <w:rPr>
          <w:rFonts w:ascii="Arial" w:eastAsiaTheme="minorEastAsia" w:hAnsi="Arial" w:cs="Arial"/>
          <w:sz w:val="20"/>
          <w:szCs w:val="20"/>
          <w:lang w:eastAsia="en-AU"/>
        </w:rPr>
        <w:t>202</w:t>
      </w:r>
      <w:r w:rsidR="00852FE5">
        <w:rPr>
          <w:rFonts w:ascii="Arial" w:eastAsiaTheme="minorEastAsia" w:hAnsi="Arial" w:cs="Arial"/>
          <w:sz w:val="20"/>
          <w:szCs w:val="20"/>
          <w:lang w:eastAsia="en-AU"/>
        </w:rPr>
        <w:t>5</w:t>
      </w:r>
      <w:r w:rsidR="00C01E0B">
        <w:rPr>
          <w:rFonts w:ascii="Arial" w:eastAsiaTheme="minorEastAsia" w:hAnsi="Arial" w:cs="Arial"/>
          <w:sz w:val="20"/>
          <w:szCs w:val="20"/>
          <w:lang w:eastAsia="en-AU"/>
        </w:rPr>
        <w:t>/2</w:t>
      </w:r>
      <w:r w:rsidR="00852FE5">
        <w:rPr>
          <w:rFonts w:ascii="Arial" w:eastAsiaTheme="minorEastAsia" w:hAnsi="Arial" w:cs="Arial"/>
          <w:sz w:val="20"/>
          <w:szCs w:val="20"/>
          <w:lang w:eastAsia="en-AU"/>
        </w:rPr>
        <w:t>6</w:t>
      </w:r>
      <w:r w:rsidR="00C45A78" w:rsidRPr="00ED69D1">
        <w:rPr>
          <w:rFonts w:ascii="Arial" w:eastAsiaTheme="minorEastAsia" w:hAnsi="Arial" w:cs="Arial"/>
          <w:sz w:val="20"/>
          <w:szCs w:val="20"/>
          <w:lang w:eastAsia="en-AU"/>
        </w:rPr>
        <w:t xml:space="preserve"> financial year</w:t>
      </w:r>
      <w:r w:rsidR="00542236" w:rsidRPr="00542236">
        <w:rPr>
          <w:rFonts w:ascii="Arial" w:eastAsiaTheme="minorEastAsia" w:hAnsi="Arial" w:cs="Arial"/>
          <w:sz w:val="20"/>
          <w:szCs w:val="20"/>
          <w:lang w:eastAsia="en-AU"/>
        </w:rPr>
        <w:t xml:space="preserve"> </w:t>
      </w:r>
      <w:r w:rsidR="00542236">
        <w:rPr>
          <w:rFonts w:ascii="Arial" w:eastAsiaTheme="minorEastAsia" w:hAnsi="Arial" w:cs="Arial"/>
          <w:sz w:val="20"/>
          <w:szCs w:val="20"/>
          <w:lang w:eastAsia="en-AU"/>
        </w:rPr>
        <w:t>due to the GRV valuation</w:t>
      </w:r>
      <w:r w:rsidR="00CF4006" w:rsidRPr="000F005D">
        <w:rPr>
          <w:rFonts w:ascii="Arial" w:eastAsiaTheme="minorEastAsia" w:hAnsi="Arial" w:cs="Arial"/>
          <w:sz w:val="20"/>
          <w:szCs w:val="20"/>
          <w:lang w:eastAsia="en-AU"/>
        </w:rPr>
        <w:t xml:space="preserve">. </w:t>
      </w:r>
      <w:r w:rsidR="00D309D7" w:rsidRPr="000F005D">
        <w:rPr>
          <w:rFonts w:ascii="Arial" w:eastAsiaTheme="minorEastAsia" w:hAnsi="Arial" w:cs="Arial"/>
          <w:sz w:val="20"/>
          <w:szCs w:val="20"/>
          <w:lang w:eastAsia="en-AU"/>
        </w:rPr>
        <w:t xml:space="preserve">The minimum rate of </w:t>
      </w:r>
      <w:r w:rsidR="00D309D7" w:rsidRPr="00AC16EE">
        <w:rPr>
          <w:rFonts w:ascii="Arial" w:eastAsiaTheme="minorEastAsia" w:hAnsi="Arial" w:cs="Arial"/>
          <w:sz w:val="20"/>
          <w:szCs w:val="20"/>
          <w:lang w:eastAsia="en-AU"/>
        </w:rPr>
        <w:t>$</w:t>
      </w:r>
      <w:r w:rsidR="006354A0" w:rsidRPr="00AC16EE">
        <w:rPr>
          <w:rFonts w:ascii="Arial" w:eastAsiaTheme="minorEastAsia" w:hAnsi="Arial" w:cs="Arial"/>
          <w:sz w:val="20"/>
          <w:szCs w:val="20"/>
          <w:lang w:eastAsia="en-AU"/>
        </w:rPr>
        <w:t>1,</w:t>
      </w:r>
      <w:r w:rsidR="00C01E0B" w:rsidRPr="00AC16EE">
        <w:rPr>
          <w:rFonts w:ascii="Arial" w:eastAsiaTheme="minorEastAsia" w:hAnsi="Arial" w:cs="Arial"/>
          <w:sz w:val="20"/>
          <w:szCs w:val="20"/>
          <w:lang w:eastAsia="en-AU"/>
        </w:rPr>
        <w:t>750</w:t>
      </w:r>
      <w:r w:rsidR="00D309D7" w:rsidRPr="000F005D">
        <w:rPr>
          <w:rFonts w:ascii="Arial" w:eastAsiaTheme="minorEastAsia" w:hAnsi="Arial" w:cs="Arial"/>
          <w:sz w:val="20"/>
          <w:szCs w:val="20"/>
          <w:lang w:eastAsia="en-AU"/>
        </w:rPr>
        <w:t xml:space="preserve"> is to ensure that all ratepayers make a reasonable contribution for basic services and infrastructure.</w:t>
      </w:r>
    </w:p>
    <w:p w14:paraId="58865395" w14:textId="77777777" w:rsidR="00604354" w:rsidRDefault="00604354" w:rsidP="00850A3A">
      <w:pPr>
        <w:spacing w:after="0" w:line="240" w:lineRule="auto"/>
        <w:jc w:val="both"/>
        <w:rPr>
          <w:rFonts w:ascii="Arial" w:hAnsi="Arial" w:cs="Arial"/>
          <w:sz w:val="20"/>
          <w:szCs w:val="20"/>
        </w:rPr>
      </w:pPr>
    </w:p>
    <w:p w14:paraId="34415EB6" w14:textId="7BC199FC" w:rsidR="00604354" w:rsidRDefault="00604354" w:rsidP="00850A3A">
      <w:pPr>
        <w:spacing w:after="0" w:line="240" w:lineRule="auto"/>
        <w:jc w:val="both"/>
        <w:rPr>
          <w:rFonts w:ascii="Arial" w:hAnsi="Arial" w:cs="Arial"/>
          <w:sz w:val="20"/>
          <w:szCs w:val="20"/>
        </w:rPr>
      </w:pPr>
      <w:r w:rsidRPr="00604354">
        <w:rPr>
          <w:rFonts w:ascii="Arial" w:hAnsi="Arial" w:cs="Arial"/>
          <w:b/>
          <w:sz w:val="20"/>
          <w:szCs w:val="20"/>
        </w:rPr>
        <w:t xml:space="preserve">Airport/Strategic Industry – </w:t>
      </w:r>
      <w:r w:rsidRPr="00604354">
        <w:rPr>
          <w:rFonts w:ascii="Arial" w:hAnsi="Arial" w:cs="Arial"/>
          <w:sz w:val="20"/>
          <w:szCs w:val="20"/>
        </w:rPr>
        <w:t>means any land:</w:t>
      </w:r>
    </w:p>
    <w:p w14:paraId="4ADB2EF4" w14:textId="0B2E05D0" w:rsidR="00604354" w:rsidRPr="00604354" w:rsidRDefault="00604354" w:rsidP="00850A3A">
      <w:pPr>
        <w:pStyle w:val="ListParagraph"/>
        <w:numPr>
          <w:ilvl w:val="0"/>
          <w:numId w:val="3"/>
        </w:numPr>
        <w:jc w:val="both"/>
        <w:rPr>
          <w:rFonts w:cs="Arial"/>
          <w:szCs w:val="20"/>
        </w:rPr>
      </w:pPr>
      <w:r w:rsidRPr="00604354">
        <w:rPr>
          <w:rFonts w:cs="Arial"/>
          <w:szCs w:val="20"/>
        </w:rPr>
        <w:t>which is located within Karratha Airport (Reserve #30948</w:t>
      </w:r>
      <w:r w:rsidR="00E15163" w:rsidRPr="00604354">
        <w:rPr>
          <w:rFonts w:cs="Arial"/>
          <w:szCs w:val="20"/>
        </w:rPr>
        <w:t>).</w:t>
      </w:r>
      <w:r w:rsidRPr="00604354">
        <w:rPr>
          <w:rFonts w:cs="Arial"/>
          <w:szCs w:val="20"/>
        </w:rPr>
        <w:t xml:space="preserve"> </w:t>
      </w:r>
    </w:p>
    <w:p w14:paraId="55A52161" w14:textId="77777777" w:rsidR="00604354" w:rsidRPr="00604354" w:rsidRDefault="00604354" w:rsidP="00305727">
      <w:pPr>
        <w:pStyle w:val="NoSpacing"/>
        <w:spacing w:before="40" w:after="40"/>
        <w:ind w:firstLine="720"/>
        <w:rPr>
          <w:rFonts w:ascii="Arial" w:hAnsi="Arial" w:cs="Arial"/>
          <w:b/>
          <w:sz w:val="20"/>
          <w:szCs w:val="20"/>
        </w:rPr>
      </w:pPr>
      <w:r w:rsidRPr="00604354">
        <w:rPr>
          <w:rFonts w:ascii="Arial" w:hAnsi="Arial" w:cs="Arial"/>
          <w:b/>
          <w:sz w:val="20"/>
          <w:szCs w:val="20"/>
        </w:rPr>
        <w:t>or</w:t>
      </w:r>
    </w:p>
    <w:p w14:paraId="3AFE5ECE" w14:textId="77777777" w:rsidR="00604354" w:rsidRPr="00604354" w:rsidRDefault="00604354" w:rsidP="00850A3A">
      <w:pPr>
        <w:pStyle w:val="ListParagraph"/>
        <w:numPr>
          <w:ilvl w:val="0"/>
          <w:numId w:val="3"/>
        </w:numPr>
        <w:jc w:val="both"/>
        <w:rPr>
          <w:rFonts w:cs="Arial"/>
          <w:szCs w:val="20"/>
        </w:rPr>
      </w:pPr>
      <w:r w:rsidRPr="00604354">
        <w:rPr>
          <w:rFonts w:cs="Arial"/>
          <w:szCs w:val="20"/>
        </w:rPr>
        <w:t xml:space="preserve">that is predominately used for the purpose of resource processing. </w:t>
      </w:r>
    </w:p>
    <w:p w14:paraId="4B87D323" w14:textId="77777777" w:rsidR="00A474C7" w:rsidRDefault="00A474C7" w:rsidP="00850A3A">
      <w:pPr>
        <w:spacing w:after="0" w:line="240" w:lineRule="auto"/>
        <w:jc w:val="both"/>
        <w:rPr>
          <w:rFonts w:ascii="Arial" w:hAnsi="Arial" w:cs="Arial"/>
          <w:sz w:val="20"/>
          <w:szCs w:val="20"/>
        </w:rPr>
      </w:pPr>
    </w:p>
    <w:p w14:paraId="1E7A7DC1" w14:textId="399C387C" w:rsidR="00307D36" w:rsidRPr="008B59E9" w:rsidRDefault="0092489E" w:rsidP="00307D36">
      <w:pPr>
        <w:spacing w:after="0" w:line="240" w:lineRule="auto"/>
        <w:jc w:val="both"/>
        <w:rPr>
          <w:rFonts w:ascii="Arial" w:eastAsiaTheme="minorEastAsia" w:hAnsi="Arial" w:cs="Arial"/>
          <w:sz w:val="20"/>
          <w:szCs w:val="20"/>
          <w:lang w:eastAsia="en-AU"/>
        </w:rPr>
      </w:pPr>
      <w:r>
        <w:rPr>
          <w:rFonts w:ascii="Arial" w:eastAsiaTheme="minorEastAsia" w:hAnsi="Arial" w:cs="Arial"/>
          <w:sz w:val="20"/>
          <w:szCs w:val="20"/>
          <w:lang w:eastAsia="en-AU"/>
        </w:rPr>
        <w:t>The reasons for th</w:t>
      </w:r>
      <w:r w:rsidR="00511090">
        <w:rPr>
          <w:rFonts w:ascii="Arial" w:eastAsiaTheme="minorEastAsia" w:hAnsi="Arial" w:cs="Arial"/>
          <w:sz w:val="20"/>
          <w:szCs w:val="20"/>
          <w:lang w:eastAsia="en-AU"/>
        </w:rPr>
        <w:t>is</w:t>
      </w:r>
      <w:r w:rsidR="00363B74">
        <w:rPr>
          <w:rFonts w:ascii="Arial" w:eastAsiaTheme="minorEastAsia" w:hAnsi="Arial" w:cs="Arial"/>
          <w:sz w:val="20"/>
          <w:szCs w:val="20"/>
          <w:lang w:eastAsia="en-AU"/>
        </w:rPr>
        <w:t xml:space="preserve"> category </w:t>
      </w:r>
      <w:r w:rsidR="00307D36">
        <w:rPr>
          <w:rFonts w:ascii="Arial" w:eastAsiaTheme="minorEastAsia" w:hAnsi="Arial" w:cs="Arial"/>
          <w:sz w:val="20"/>
          <w:szCs w:val="20"/>
          <w:lang w:eastAsia="en-AU"/>
        </w:rPr>
        <w:t xml:space="preserve">are </w:t>
      </w:r>
      <w:r w:rsidR="00363B74">
        <w:rPr>
          <w:rFonts w:ascii="Arial" w:eastAsiaTheme="minorEastAsia" w:hAnsi="Arial" w:cs="Arial"/>
          <w:sz w:val="20"/>
          <w:szCs w:val="20"/>
          <w:lang w:eastAsia="en-AU"/>
        </w:rPr>
        <w:t xml:space="preserve">to recognise a greater share of costs associated </w:t>
      </w:r>
      <w:r w:rsidR="00307D36">
        <w:rPr>
          <w:rFonts w:ascii="Arial" w:eastAsiaTheme="minorEastAsia" w:hAnsi="Arial" w:cs="Arial"/>
          <w:sz w:val="20"/>
          <w:szCs w:val="20"/>
          <w:lang w:eastAsia="en-AU"/>
        </w:rPr>
        <w:t xml:space="preserve">with </w:t>
      </w:r>
      <w:r w:rsidR="00363B74">
        <w:rPr>
          <w:rFonts w:ascii="Arial" w:eastAsiaTheme="minorEastAsia" w:hAnsi="Arial" w:cs="Arial"/>
          <w:sz w:val="20"/>
          <w:szCs w:val="20"/>
          <w:lang w:eastAsia="en-AU"/>
        </w:rPr>
        <w:t>economic development, tourism and marketing, parking</w:t>
      </w:r>
      <w:r w:rsidR="000D3FAC">
        <w:rPr>
          <w:rFonts w:ascii="Arial" w:eastAsiaTheme="minorEastAsia" w:hAnsi="Arial" w:cs="Arial"/>
          <w:sz w:val="20"/>
          <w:szCs w:val="20"/>
          <w:lang w:eastAsia="en-AU"/>
        </w:rPr>
        <w:t>, and</w:t>
      </w:r>
      <w:r w:rsidR="00363B74">
        <w:rPr>
          <w:rFonts w:ascii="Arial" w:eastAsiaTheme="minorEastAsia" w:hAnsi="Arial" w:cs="Arial"/>
          <w:sz w:val="20"/>
          <w:szCs w:val="20"/>
          <w:lang w:eastAsia="en-AU"/>
        </w:rPr>
        <w:t xml:space="preserve"> transport infrastructure associated with heavy plant and equipment.</w:t>
      </w:r>
      <w:r w:rsidR="008B59E9">
        <w:rPr>
          <w:rFonts w:ascii="Arial" w:eastAsiaTheme="minorEastAsia" w:hAnsi="Arial" w:cs="Arial"/>
          <w:sz w:val="20"/>
          <w:szCs w:val="20"/>
          <w:lang w:eastAsia="en-AU"/>
        </w:rPr>
        <w:t xml:space="preserve"> </w:t>
      </w:r>
      <w:r w:rsidR="007E1227">
        <w:rPr>
          <w:rFonts w:ascii="Arial" w:eastAsiaTheme="minorEastAsia" w:hAnsi="Arial" w:cs="Arial"/>
          <w:sz w:val="20"/>
          <w:szCs w:val="20"/>
          <w:lang w:eastAsia="en-AU"/>
        </w:rPr>
        <w:t>To</w:t>
      </w:r>
      <w:r w:rsidR="00307D36">
        <w:rPr>
          <w:rFonts w:ascii="Arial" w:eastAsiaTheme="minorEastAsia" w:hAnsi="Arial" w:cs="Arial"/>
          <w:sz w:val="20"/>
          <w:szCs w:val="20"/>
          <w:lang w:eastAsia="en-AU"/>
        </w:rPr>
        <w:t xml:space="preserve"> ensure that Council can maintain and sustain these infrastructure assets and services, a higher differential rate is proposed.</w:t>
      </w:r>
    </w:p>
    <w:p w14:paraId="5C37261C" w14:textId="77777777" w:rsidR="00850A3A" w:rsidRDefault="00850A3A" w:rsidP="00850A3A">
      <w:pPr>
        <w:spacing w:after="0" w:line="240" w:lineRule="auto"/>
        <w:jc w:val="both"/>
        <w:rPr>
          <w:rFonts w:ascii="Arial" w:hAnsi="Arial" w:cs="Arial"/>
          <w:sz w:val="20"/>
          <w:szCs w:val="20"/>
        </w:rPr>
      </w:pPr>
    </w:p>
    <w:p w14:paraId="4ABDE793" w14:textId="14E10709" w:rsidR="00575B51" w:rsidRDefault="002D0675" w:rsidP="00575B51">
      <w:pPr>
        <w:spacing w:after="0" w:line="240" w:lineRule="auto"/>
        <w:jc w:val="both"/>
        <w:rPr>
          <w:rFonts w:ascii="Arial" w:eastAsiaTheme="minorEastAsia" w:hAnsi="Arial" w:cs="Arial"/>
          <w:sz w:val="20"/>
          <w:szCs w:val="20"/>
          <w:lang w:eastAsia="en-AU"/>
        </w:rPr>
      </w:pPr>
      <w:r>
        <w:rPr>
          <w:rFonts w:ascii="Arial" w:hAnsi="Arial" w:cs="Arial"/>
          <w:sz w:val="20"/>
          <w:szCs w:val="20"/>
        </w:rPr>
        <w:t xml:space="preserve">Strategic Industry – properties </w:t>
      </w:r>
      <w:r>
        <w:rPr>
          <w:rFonts w:ascii="Arial" w:eastAsiaTheme="minorEastAsia" w:hAnsi="Arial" w:cs="Arial"/>
          <w:sz w:val="20"/>
          <w:szCs w:val="20"/>
          <w:lang w:eastAsia="en-AU"/>
        </w:rPr>
        <w:t>with a land use of Strategic Industry have State or Regional s</w:t>
      </w:r>
      <w:r w:rsidRPr="00925A50">
        <w:rPr>
          <w:rFonts w:ascii="Arial" w:eastAsiaTheme="minorEastAsia" w:hAnsi="Arial" w:cs="Arial"/>
          <w:sz w:val="20"/>
          <w:szCs w:val="20"/>
          <w:lang w:eastAsia="en-AU"/>
        </w:rPr>
        <w:t>ignificance</w:t>
      </w:r>
      <w:r>
        <w:rPr>
          <w:rFonts w:ascii="Arial" w:eastAsiaTheme="minorEastAsia" w:hAnsi="Arial" w:cs="Arial"/>
          <w:sz w:val="20"/>
          <w:szCs w:val="20"/>
          <w:lang w:eastAsia="en-AU"/>
        </w:rPr>
        <w:t xml:space="preserve"> which </w:t>
      </w:r>
      <w:r w:rsidR="00725749">
        <w:rPr>
          <w:rFonts w:ascii="Arial" w:eastAsiaTheme="minorEastAsia" w:hAnsi="Arial" w:cs="Arial"/>
          <w:sz w:val="20"/>
          <w:szCs w:val="20"/>
          <w:lang w:eastAsia="en-AU"/>
        </w:rPr>
        <w:t>use</w:t>
      </w:r>
      <w:r>
        <w:rPr>
          <w:rFonts w:ascii="Arial" w:eastAsiaTheme="minorEastAsia" w:hAnsi="Arial" w:cs="Arial"/>
          <w:sz w:val="20"/>
          <w:szCs w:val="20"/>
          <w:lang w:eastAsia="en-AU"/>
        </w:rPr>
        <w:t xml:space="preserve"> a proportionately high level of infrastructure assets due to </w:t>
      </w:r>
      <w:r w:rsidRPr="00925A50">
        <w:rPr>
          <w:rFonts w:ascii="Arial" w:eastAsiaTheme="minorEastAsia" w:hAnsi="Arial" w:cs="Arial"/>
          <w:sz w:val="20"/>
          <w:szCs w:val="20"/>
          <w:lang w:eastAsia="en-AU"/>
        </w:rPr>
        <w:t>heavy haulage vehicle movements</w:t>
      </w:r>
      <w:r>
        <w:rPr>
          <w:rFonts w:ascii="Arial" w:eastAsiaTheme="minorEastAsia" w:hAnsi="Arial" w:cs="Arial"/>
          <w:sz w:val="20"/>
          <w:szCs w:val="20"/>
          <w:lang w:eastAsia="en-AU"/>
        </w:rPr>
        <w:t xml:space="preserve">. In </w:t>
      </w:r>
      <w:r w:rsidR="001F06F2">
        <w:rPr>
          <w:rFonts w:ascii="Arial" w:eastAsiaTheme="minorEastAsia" w:hAnsi="Arial" w:cs="Arial"/>
          <w:sz w:val="20"/>
          <w:szCs w:val="20"/>
          <w:lang w:eastAsia="en-AU"/>
        </w:rPr>
        <w:t>addition,</w:t>
      </w:r>
      <w:r>
        <w:rPr>
          <w:rFonts w:ascii="Arial" w:eastAsiaTheme="minorEastAsia" w:hAnsi="Arial" w:cs="Arial"/>
          <w:sz w:val="20"/>
          <w:szCs w:val="20"/>
          <w:lang w:eastAsia="en-AU"/>
        </w:rPr>
        <w:t xml:space="preserve"> they also impact on the provision of </w:t>
      </w:r>
      <w:r w:rsidRPr="00925A50">
        <w:rPr>
          <w:rFonts w:ascii="Arial" w:eastAsiaTheme="minorEastAsia" w:hAnsi="Arial" w:cs="Arial"/>
          <w:sz w:val="20"/>
          <w:szCs w:val="20"/>
          <w:lang w:eastAsia="en-AU"/>
        </w:rPr>
        <w:t xml:space="preserve">environmental </w:t>
      </w:r>
      <w:r>
        <w:rPr>
          <w:rFonts w:ascii="Arial" w:eastAsiaTheme="minorEastAsia" w:hAnsi="Arial" w:cs="Arial"/>
          <w:sz w:val="20"/>
          <w:szCs w:val="20"/>
          <w:lang w:eastAsia="en-AU"/>
        </w:rPr>
        <w:t>and</w:t>
      </w:r>
      <w:r w:rsidRPr="00925A50">
        <w:rPr>
          <w:rFonts w:ascii="Arial" w:eastAsiaTheme="minorEastAsia" w:hAnsi="Arial" w:cs="Arial"/>
          <w:sz w:val="20"/>
          <w:szCs w:val="20"/>
          <w:lang w:eastAsia="en-AU"/>
        </w:rPr>
        <w:t xml:space="preserve"> strategic planning</w:t>
      </w:r>
      <w:r>
        <w:rPr>
          <w:rFonts w:ascii="Arial" w:eastAsiaTheme="minorEastAsia" w:hAnsi="Arial" w:cs="Arial"/>
          <w:sz w:val="20"/>
          <w:szCs w:val="20"/>
          <w:lang w:eastAsia="en-AU"/>
        </w:rPr>
        <w:t xml:space="preserve"> services</w:t>
      </w:r>
      <w:r w:rsidR="009917BA">
        <w:rPr>
          <w:rFonts w:ascii="Arial" w:eastAsiaTheme="minorEastAsia" w:hAnsi="Arial" w:cs="Arial"/>
          <w:sz w:val="20"/>
          <w:szCs w:val="20"/>
          <w:lang w:eastAsia="en-AU"/>
        </w:rPr>
        <w:t xml:space="preserve"> as well as access to all other services and facilities provided by Council.</w:t>
      </w:r>
    </w:p>
    <w:p w14:paraId="7269BF5A" w14:textId="77777777" w:rsidR="00575B51" w:rsidRDefault="00575B51" w:rsidP="00575B51">
      <w:pPr>
        <w:spacing w:after="0" w:line="240" w:lineRule="auto"/>
        <w:jc w:val="both"/>
        <w:rPr>
          <w:rFonts w:ascii="Arial" w:eastAsiaTheme="minorEastAsia" w:hAnsi="Arial" w:cs="Arial"/>
          <w:sz w:val="20"/>
          <w:szCs w:val="20"/>
          <w:lang w:eastAsia="en-AU"/>
        </w:rPr>
      </w:pPr>
    </w:p>
    <w:p w14:paraId="5DDECE70" w14:textId="726E6046" w:rsidR="009917BA" w:rsidRDefault="00011BB4" w:rsidP="00575B51">
      <w:pPr>
        <w:spacing w:after="0" w:line="240" w:lineRule="auto"/>
        <w:jc w:val="both"/>
        <w:rPr>
          <w:rFonts w:ascii="Arial" w:eastAsiaTheme="minorEastAsia" w:hAnsi="Arial" w:cs="Arial"/>
          <w:sz w:val="20"/>
          <w:szCs w:val="20"/>
          <w:lang w:eastAsia="en-AU"/>
        </w:rPr>
      </w:pPr>
      <w:r w:rsidRPr="00011BB4">
        <w:rPr>
          <w:rFonts w:ascii="Arial" w:hAnsi="Arial" w:cs="Arial"/>
          <w:sz w:val="20"/>
          <w:szCs w:val="20"/>
        </w:rPr>
        <w:t xml:space="preserve">Airport - </w:t>
      </w:r>
      <w:r w:rsidRPr="00850A3A">
        <w:rPr>
          <w:rFonts w:ascii="Arial" w:hAnsi="Arial" w:cs="Arial"/>
          <w:sz w:val="20"/>
          <w:szCs w:val="20"/>
        </w:rPr>
        <w:t xml:space="preserve">properties located in the Karratha Airport Precinct (second </w:t>
      </w:r>
      <w:r w:rsidR="00B639D1">
        <w:rPr>
          <w:rFonts w:ascii="Arial" w:hAnsi="Arial" w:cs="Arial"/>
          <w:sz w:val="20"/>
          <w:szCs w:val="20"/>
        </w:rPr>
        <w:t>larg</w:t>
      </w:r>
      <w:r w:rsidRPr="00850A3A">
        <w:rPr>
          <w:rFonts w:ascii="Arial" w:hAnsi="Arial" w:cs="Arial"/>
          <w:sz w:val="20"/>
          <w:szCs w:val="20"/>
        </w:rPr>
        <w:t>est airport in Western Australia) receiv</w:t>
      </w:r>
      <w:r w:rsidR="00307D36">
        <w:rPr>
          <w:rFonts w:ascii="Arial" w:hAnsi="Arial" w:cs="Arial"/>
          <w:sz w:val="20"/>
          <w:szCs w:val="20"/>
        </w:rPr>
        <w:t>e</w:t>
      </w:r>
      <w:r w:rsidRPr="00850A3A">
        <w:rPr>
          <w:rFonts w:ascii="Arial" w:hAnsi="Arial" w:cs="Arial"/>
          <w:sz w:val="20"/>
          <w:szCs w:val="20"/>
        </w:rPr>
        <w:t xml:space="preserve"> direct benefit </w:t>
      </w:r>
      <w:r w:rsidR="00307D36">
        <w:rPr>
          <w:rFonts w:ascii="Arial" w:hAnsi="Arial" w:cs="Arial"/>
          <w:sz w:val="20"/>
          <w:szCs w:val="20"/>
        </w:rPr>
        <w:t>from</w:t>
      </w:r>
      <w:r w:rsidR="00307D36" w:rsidRPr="00850A3A">
        <w:rPr>
          <w:rFonts w:ascii="Arial" w:hAnsi="Arial" w:cs="Arial"/>
          <w:sz w:val="20"/>
          <w:szCs w:val="20"/>
        </w:rPr>
        <w:t xml:space="preserve"> </w:t>
      </w:r>
      <w:r w:rsidRPr="00850A3A">
        <w:rPr>
          <w:rFonts w:ascii="Arial" w:hAnsi="Arial" w:cs="Arial"/>
          <w:sz w:val="20"/>
          <w:szCs w:val="20"/>
        </w:rPr>
        <w:t xml:space="preserve">significant Airport Infrastructure </w:t>
      </w:r>
      <w:r w:rsidRPr="00011BB4">
        <w:rPr>
          <w:rFonts w:ascii="Arial" w:hAnsi="Arial" w:cs="Arial"/>
          <w:sz w:val="20"/>
          <w:szCs w:val="20"/>
        </w:rPr>
        <w:t>and s</w:t>
      </w:r>
      <w:r w:rsidRPr="00850A3A">
        <w:rPr>
          <w:rFonts w:ascii="Arial" w:hAnsi="Arial" w:cs="Arial"/>
          <w:sz w:val="20"/>
          <w:szCs w:val="20"/>
        </w:rPr>
        <w:t xml:space="preserve">ervices more so than any other ratepayer. </w:t>
      </w:r>
      <w:r w:rsidR="009917BA">
        <w:rPr>
          <w:rFonts w:ascii="Arial" w:eastAsiaTheme="minorEastAsia" w:hAnsi="Arial" w:cs="Arial"/>
          <w:sz w:val="20"/>
          <w:szCs w:val="20"/>
          <w:lang w:eastAsia="en-AU"/>
        </w:rPr>
        <w:t xml:space="preserve">In </w:t>
      </w:r>
      <w:r w:rsidR="001F06F2">
        <w:rPr>
          <w:rFonts w:ascii="Arial" w:eastAsiaTheme="minorEastAsia" w:hAnsi="Arial" w:cs="Arial"/>
          <w:sz w:val="20"/>
          <w:szCs w:val="20"/>
          <w:lang w:eastAsia="en-AU"/>
        </w:rPr>
        <w:t>addition,</w:t>
      </w:r>
      <w:r w:rsidR="009917BA">
        <w:rPr>
          <w:rFonts w:ascii="Arial" w:eastAsiaTheme="minorEastAsia" w:hAnsi="Arial" w:cs="Arial"/>
          <w:sz w:val="20"/>
          <w:szCs w:val="20"/>
          <w:lang w:eastAsia="en-AU"/>
        </w:rPr>
        <w:t xml:space="preserve"> these properties have access to all other services and facilities provided by Council.</w:t>
      </w:r>
    </w:p>
    <w:p w14:paraId="47A28A82" w14:textId="77777777" w:rsidR="00011BB4" w:rsidRPr="00011BB4" w:rsidRDefault="00011BB4" w:rsidP="00850A3A">
      <w:pPr>
        <w:spacing w:after="0" w:line="240" w:lineRule="auto"/>
        <w:jc w:val="both"/>
        <w:rPr>
          <w:rFonts w:ascii="Arial" w:hAnsi="Arial" w:cs="Arial"/>
          <w:sz w:val="20"/>
          <w:szCs w:val="20"/>
        </w:rPr>
      </w:pPr>
    </w:p>
    <w:p w14:paraId="41A885AD" w14:textId="78276D0F" w:rsidR="00011BB4" w:rsidRPr="00850A3A" w:rsidRDefault="00011BB4" w:rsidP="00850A3A">
      <w:pPr>
        <w:spacing w:after="0" w:line="240" w:lineRule="auto"/>
        <w:jc w:val="both"/>
        <w:rPr>
          <w:rFonts w:ascii="Arial" w:hAnsi="Arial" w:cs="Arial"/>
          <w:sz w:val="20"/>
          <w:szCs w:val="20"/>
        </w:rPr>
      </w:pPr>
      <w:r w:rsidRPr="00850A3A">
        <w:rPr>
          <w:rFonts w:ascii="Arial" w:hAnsi="Arial" w:cs="Arial"/>
          <w:sz w:val="20"/>
          <w:szCs w:val="20"/>
        </w:rPr>
        <w:t xml:space="preserve">Karratha </w:t>
      </w:r>
      <w:r w:rsidRPr="00132BCB">
        <w:rPr>
          <w:rFonts w:ascii="Arial" w:hAnsi="Arial" w:cs="Arial"/>
          <w:sz w:val="20"/>
          <w:szCs w:val="20"/>
        </w:rPr>
        <w:t xml:space="preserve">Airport is a strategic asset of </w:t>
      </w:r>
      <w:r w:rsidR="00E15163" w:rsidRPr="00132BCB">
        <w:rPr>
          <w:rFonts w:ascii="Arial" w:hAnsi="Arial" w:cs="Arial"/>
          <w:sz w:val="20"/>
          <w:szCs w:val="20"/>
        </w:rPr>
        <w:t>Council,</w:t>
      </w:r>
      <w:r w:rsidRPr="00132BCB">
        <w:rPr>
          <w:rFonts w:ascii="Arial" w:hAnsi="Arial" w:cs="Arial"/>
          <w:sz w:val="20"/>
          <w:szCs w:val="20"/>
        </w:rPr>
        <w:t xml:space="preserve"> and the services afforded to Airport properties are of significant benefit. </w:t>
      </w:r>
      <w:r w:rsidRPr="00BE7B1F">
        <w:rPr>
          <w:rFonts w:ascii="Arial" w:hAnsi="Arial" w:cs="Arial"/>
          <w:sz w:val="20"/>
          <w:szCs w:val="20"/>
        </w:rPr>
        <w:t xml:space="preserve">Operating costs of </w:t>
      </w:r>
      <w:r w:rsidR="00E2404C" w:rsidRPr="00BE7B1F">
        <w:rPr>
          <w:rFonts w:ascii="Arial" w:hAnsi="Arial" w:cs="Arial"/>
          <w:sz w:val="20"/>
          <w:szCs w:val="20"/>
        </w:rPr>
        <w:t xml:space="preserve">circa </w:t>
      </w:r>
      <w:r w:rsidR="00EC369D" w:rsidRPr="00BE7B1F">
        <w:rPr>
          <w:rFonts w:ascii="Arial" w:hAnsi="Arial" w:cs="Arial"/>
          <w:sz w:val="20"/>
          <w:szCs w:val="20"/>
        </w:rPr>
        <w:t>$</w:t>
      </w:r>
      <w:r w:rsidR="00E2404C" w:rsidRPr="00BE7B1F">
        <w:rPr>
          <w:rFonts w:ascii="Arial" w:hAnsi="Arial" w:cs="Arial"/>
          <w:sz w:val="20"/>
          <w:szCs w:val="20"/>
        </w:rPr>
        <w:t>13</w:t>
      </w:r>
      <w:r w:rsidR="000B4380" w:rsidRPr="00BE7B1F">
        <w:rPr>
          <w:rFonts w:ascii="Arial" w:hAnsi="Arial" w:cs="Arial"/>
          <w:sz w:val="20"/>
          <w:szCs w:val="20"/>
        </w:rPr>
        <w:t xml:space="preserve"> </w:t>
      </w:r>
      <w:r w:rsidR="00EC369D" w:rsidRPr="00BE7B1F">
        <w:rPr>
          <w:rFonts w:ascii="Arial" w:hAnsi="Arial" w:cs="Arial"/>
          <w:sz w:val="20"/>
          <w:szCs w:val="20"/>
        </w:rPr>
        <w:t>m</w:t>
      </w:r>
      <w:r w:rsidR="000B4380" w:rsidRPr="00BE7B1F">
        <w:rPr>
          <w:rFonts w:ascii="Arial" w:hAnsi="Arial" w:cs="Arial"/>
          <w:sz w:val="20"/>
          <w:szCs w:val="20"/>
        </w:rPr>
        <w:t>illion</w:t>
      </w:r>
      <w:r w:rsidR="00EC369D" w:rsidRPr="00BE7B1F">
        <w:rPr>
          <w:rFonts w:ascii="Arial" w:hAnsi="Arial" w:cs="Arial"/>
          <w:sz w:val="20"/>
          <w:szCs w:val="20"/>
        </w:rPr>
        <w:t xml:space="preserve"> </w:t>
      </w:r>
      <w:r w:rsidR="008B0F8A" w:rsidRPr="00BE7B1F">
        <w:rPr>
          <w:rFonts w:ascii="Arial" w:hAnsi="Arial" w:cs="Arial"/>
          <w:sz w:val="20"/>
          <w:szCs w:val="20"/>
        </w:rPr>
        <w:t xml:space="preserve">(excludes recoverable costs) </w:t>
      </w:r>
      <w:r w:rsidR="00812D99" w:rsidRPr="00BE7B1F">
        <w:rPr>
          <w:rFonts w:ascii="Arial" w:hAnsi="Arial" w:cs="Arial"/>
          <w:sz w:val="20"/>
          <w:szCs w:val="20"/>
        </w:rPr>
        <w:t xml:space="preserve">are forecast </w:t>
      </w:r>
      <w:r w:rsidR="00EC369D" w:rsidRPr="00BE7B1F">
        <w:rPr>
          <w:rFonts w:ascii="Arial" w:hAnsi="Arial" w:cs="Arial"/>
          <w:sz w:val="20"/>
          <w:szCs w:val="20"/>
        </w:rPr>
        <w:t xml:space="preserve">for </w:t>
      </w:r>
      <w:r w:rsidR="00812D99" w:rsidRPr="00BE7B1F">
        <w:rPr>
          <w:rFonts w:ascii="Arial" w:hAnsi="Arial" w:cs="Arial"/>
          <w:sz w:val="20"/>
          <w:szCs w:val="20"/>
        </w:rPr>
        <w:t>202</w:t>
      </w:r>
      <w:r w:rsidR="00E2404C" w:rsidRPr="00BE7B1F">
        <w:rPr>
          <w:rFonts w:ascii="Arial" w:hAnsi="Arial" w:cs="Arial"/>
          <w:sz w:val="20"/>
          <w:szCs w:val="20"/>
        </w:rPr>
        <w:t>4</w:t>
      </w:r>
      <w:r w:rsidR="00812D99" w:rsidRPr="00BE7B1F">
        <w:rPr>
          <w:rFonts w:ascii="Arial" w:hAnsi="Arial" w:cs="Arial"/>
          <w:sz w:val="20"/>
          <w:szCs w:val="20"/>
        </w:rPr>
        <w:t>/2</w:t>
      </w:r>
      <w:r w:rsidR="00E2404C" w:rsidRPr="00BE7B1F">
        <w:rPr>
          <w:rFonts w:ascii="Arial" w:hAnsi="Arial" w:cs="Arial"/>
          <w:sz w:val="20"/>
          <w:szCs w:val="20"/>
        </w:rPr>
        <w:t>5</w:t>
      </w:r>
      <w:r w:rsidRPr="00BE7B1F">
        <w:rPr>
          <w:rFonts w:ascii="Arial" w:hAnsi="Arial" w:cs="Arial"/>
          <w:sz w:val="20"/>
          <w:szCs w:val="20"/>
        </w:rPr>
        <w:t xml:space="preserve"> with </w:t>
      </w:r>
      <w:r w:rsidR="00E2404C" w:rsidRPr="00BE7B1F">
        <w:rPr>
          <w:rFonts w:ascii="Arial" w:hAnsi="Arial" w:cs="Arial"/>
          <w:sz w:val="20"/>
          <w:szCs w:val="20"/>
        </w:rPr>
        <w:t>$</w:t>
      </w:r>
      <w:r w:rsidR="009702F2" w:rsidRPr="00BE7B1F">
        <w:rPr>
          <w:rFonts w:ascii="Arial" w:hAnsi="Arial" w:cs="Arial"/>
          <w:sz w:val="20"/>
          <w:szCs w:val="20"/>
        </w:rPr>
        <w:t>13</w:t>
      </w:r>
      <w:r w:rsidR="00E2404C" w:rsidRPr="00BE7B1F">
        <w:rPr>
          <w:rFonts w:ascii="Arial" w:hAnsi="Arial" w:cs="Arial"/>
          <w:sz w:val="20"/>
          <w:szCs w:val="20"/>
        </w:rPr>
        <w:t>.</w:t>
      </w:r>
      <w:r w:rsidR="006559DE" w:rsidRPr="00BE7B1F">
        <w:rPr>
          <w:rFonts w:ascii="Arial" w:hAnsi="Arial" w:cs="Arial"/>
          <w:sz w:val="20"/>
          <w:szCs w:val="20"/>
        </w:rPr>
        <w:t>8</w:t>
      </w:r>
      <w:r w:rsidR="00E2404C" w:rsidRPr="00BE7B1F">
        <w:rPr>
          <w:rFonts w:ascii="Arial" w:hAnsi="Arial" w:cs="Arial"/>
          <w:sz w:val="20"/>
          <w:szCs w:val="20"/>
        </w:rPr>
        <w:t xml:space="preserve"> million</w:t>
      </w:r>
      <w:r w:rsidRPr="00BE7B1F">
        <w:rPr>
          <w:rFonts w:ascii="Arial" w:hAnsi="Arial" w:cs="Arial"/>
          <w:sz w:val="20"/>
          <w:szCs w:val="20"/>
        </w:rPr>
        <w:t xml:space="preserve"> (</w:t>
      </w:r>
      <w:r w:rsidR="006559DE" w:rsidRPr="00BE7B1F">
        <w:rPr>
          <w:rFonts w:ascii="Arial" w:hAnsi="Arial" w:cs="Arial"/>
          <w:sz w:val="20"/>
          <w:szCs w:val="20"/>
        </w:rPr>
        <w:t>including</w:t>
      </w:r>
      <w:r w:rsidRPr="00BE7B1F">
        <w:rPr>
          <w:rFonts w:ascii="Arial" w:hAnsi="Arial" w:cs="Arial"/>
          <w:sz w:val="20"/>
          <w:szCs w:val="20"/>
        </w:rPr>
        <w:t xml:space="preserve"> associated CPI and </w:t>
      </w:r>
      <w:r w:rsidR="00511090">
        <w:rPr>
          <w:rFonts w:ascii="Arial" w:hAnsi="Arial" w:cs="Arial"/>
          <w:sz w:val="20"/>
          <w:szCs w:val="20"/>
        </w:rPr>
        <w:t>u</w:t>
      </w:r>
      <w:r w:rsidRPr="00BE7B1F">
        <w:rPr>
          <w:rFonts w:ascii="Arial" w:hAnsi="Arial" w:cs="Arial"/>
          <w:sz w:val="20"/>
          <w:szCs w:val="20"/>
        </w:rPr>
        <w:t xml:space="preserve">tility increases) anticipated for </w:t>
      </w:r>
      <w:r w:rsidR="00C01E0B" w:rsidRPr="00BE7B1F">
        <w:rPr>
          <w:rFonts w:ascii="Arial" w:hAnsi="Arial" w:cs="Arial"/>
          <w:sz w:val="20"/>
          <w:szCs w:val="20"/>
        </w:rPr>
        <w:t>202</w:t>
      </w:r>
      <w:r w:rsidR="00E2404C" w:rsidRPr="00BE7B1F">
        <w:rPr>
          <w:rFonts w:ascii="Arial" w:hAnsi="Arial" w:cs="Arial"/>
          <w:sz w:val="20"/>
          <w:szCs w:val="20"/>
        </w:rPr>
        <w:t>5</w:t>
      </w:r>
      <w:r w:rsidR="00C01E0B" w:rsidRPr="00BE7B1F">
        <w:rPr>
          <w:rFonts w:ascii="Arial" w:hAnsi="Arial" w:cs="Arial"/>
          <w:sz w:val="20"/>
          <w:szCs w:val="20"/>
        </w:rPr>
        <w:t>/2</w:t>
      </w:r>
      <w:r w:rsidR="00E2404C" w:rsidRPr="00BE7B1F">
        <w:rPr>
          <w:rFonts w:ascii="Arial" w:hAnsi="Arial" w:cs="Arial"/>
          <w:sz w:val="20"/>
          <w:szCs w:val="20"/>
        </w:rPr>
        <w:t>6</w:t>
      </w:r>
      <w:r w:rsidRPr="00BE7B1F">
        <w:rPr>
          <w:rFonts w:ascii="Arial" w:hAnsi="Arial" w:cs="Arial"/>
          <w:sz w:val="20"/>
          <w:szCs w:val="20"/>
        </w:rPr>
        <w:t>.</w:t>
      </w:r>
    </w:p>
    <w:p w14:paraId="791D1FA0" w14:textId="77777777" w:rsidR="00011BB4" w:rsidRPr="00850A3A" w:rsidRDefault="00011BB4" w:rsidP="00850A3A">
      <w:pPr>
        <w:spacing w:after="0" w:line="240" w:lineRule="auto"/>
        <w:jc w:val="both"/>
        <w:rPr>
          <w:rFonts w:ascii="Arial" w:hAnsi="Arial" w:cs="Arial"/>
          <w:sz w:val="20"/>
          <w:szCs w:val="20"/>
        </w:rPr>
      </w:pPr>
    </w:p>
    <w:p w14:paraId="09CB99A0" w14:textId="01FA696A" w:rsidR="00CE3407" w:rsidRPr="00575B51" w:rsidRDefault="00032D04" w:rsidP="00850A3A">
      <w:pPr>
        <w:spacing w:after="0" w:line="240" w:lineRule="auto"/>
        <w:jc w:val="both"/>
        <w:rPr>
          <w:rFonts w:ascii="Arial" w:hAnsi="Arial" w:cs="Arial"/>
          <w:sz w:val="20"/>
          <w:szCs w:val="20"/>
        </w:rPr>
      </w:pPr>
      <w:r>
        <w:rPr>
          <w:rFonts w:ascii="Arial" w:hAnsi="Arial" w:cs="Arial"/>
          <w:sz w:val="20"/>
          <w:szCs w:val="20"/>
        </w:rPr>
        <w:t>Total earmarked capital spend on the facility for 2025/26 is $11.</w:t>
      </w:r>
      <w:r w:rsidR="00FE6719">
        <w:rPr>
          <w:rFonts w:ascii="Arial" w:hAnsi="Arial" w:cs="Arial"/>
          <w:sz w:val="20"/>
          <w:szCs w:val="20"/>
        </w:rPr>
        <w:t>3</w:t>
      </w:r>
      <w:r>
        <w:rPr>
          <w:rFonts w:ascii="Arial" w:hAnsi="Arial" w:cs="Arial"/>
          <w:sz w:val="20"/>
          <w:szCs w:val="20"/>
        </w:rPr>
        <w:t>m with the k</w:t>
      </w:r>
      <w:r w:rsidR="00CE3407">
        <w:rPr>
          <w:rFonts w:ascii="Arial" w:hAnsi="Arial" w:cs="Arial"/>
          <w:sz w:val="20"/>
          <w:szCs w:val="20"/>
        </w:rPr>
        <w:t>ey capital projects proposed include runway works of $</w:t>
      </w:r>
      <w:r w:rsidR="004E6CEB">
        <w:rPr>
          <w:rFonts w:ascii="Arial" w:hAnsi="Arial" w:cs="Arial"/>
          <w:sz w:val="20"/>
          <w:szCs w:val="20"/>
        </w:rPr>
        <w:t>1</w:t>
      </w:r>
      <w:r>
        <w:rPr>
          <w:rFonts w:ascii="Arial" w:hAnsi="Arial" w:cs="Arial"/>
          <w:sz w:val="20"/>
          <w:szCs w:val="20"/>
        </w:rPr>
        <w:t>.3</w:t>
      </w:r>
      <w:r w:rsidR="004E6CEB">
        <w:rPr>
          <w:rFonts w:ascii="Arial" w:hAnsi="Arial" w:cs="Arial"/>
          <w:sz w:val="20"/>
          <w:szCs w:val="20"/>
        </w:rPr>
        <w:t xml:space="preserve">m; Water mains replacement works $2m, </w:t>
      </w:r>
      <w:r w:rsidR="00E15163">
        <w:rPr>
          <w:rFonts w:ascii="Arial" w:hAnsi="Arial" w:cs="Arial"/>
          <w:sz w:val="20"/>
          <w:szCs w:val="20"/>
        </w:rPr>
        <w:t>Wastewater</w:t>
      </w:r>
      <w:r>
        <w:rPr>
          <w:rFonts w:ascii="Arial" w:hAnsi="Arial" w:cs="Arial"/>
          <w:sz w:val="20"/>
          <w:szCs w:val="20"/>
        </w:rPr>
        <w:t xml:space="preserve"> treatment plant $1.3m, Plant and equipment upgrades of</w:t>
      </w:r>
      <w:r w:rsidR="004E6CEB">
        <w:rPr>
          <w:rFonts w:ascii="Arial" w:hAnsi="Arial" w:cs="Arial"/>
          <w:sz w:val="20"/>
          <w:szCs w:val="20"/>
        </w:rPr>
        <w:t xml:space="preserve"> $</w:t>
      </w:r>
      <w:r>
        <w:rPr>
          <w:rFonts w:ascii="Arial" w:hAnsi="Arial" w:cs="Arial"/>
          <w:sz w:val="20"/>
          <w:szCs w:val="20"/>
        </w:rPr>
        <w:t>655</w:t>
      </w:r>
      <w:r w:rsidR="004E6CEB">
        <w:rPr>
          <w:rFonts w:ascii="Arial" w:hAnsi="Arial" w:cs="Arial"/>
          <w:sz w:val="20"/>
          <w:szCs w:val="20"/>
        </w:rPr>
        <w:t>k</w:t>
      </w:r>
      <w:r>
        <w:rPr>
          <w:rFonts w:ascii="Arial" w:hAnsi="Arial" w:cs="Arial"/>
          <w:sz w:val="20"/>
          <w:szCs w:val="20"/>
        </w:rPr>
        <w:t>, Airport security of $1.13m</w:t>
      </w:r>
      <w:r w:rsidR="004E6CEB">
        <w:rPr>
          <w:rFonts w:ascii="Arial" w:hAnsi="Arial" w:cs="Arial"/>
          <w:sz w:val="20"/>
          <w:szCs w:val="20"/>
        </w:rPr>
        <w:t xml:space="preserve"> and </w:t>
      </w:r>
      <w:r>
        <w:rPr>
          <w:rFonts w:ascii="Arial" w:hAnsi="Arial" w:cs="Arial"/>
          <w:sz w:val="20"/>
          <w:szCs w:val="20"/>
        </w:rPr>
        <w:t>several sundry upgrades</w:t>
      </w:r>
      <w:r w:rsidR="004E6CEB">
        <w:rPr>
          <w:rFonts w:ascii="Arial" w:hAnsi="Arial" w:cs="Arial"/>
          <w:sz w:val="20"/>
          <w:szCs w:val="20"/>
        </w:rPr>
        <w:t xml:space="preserve"> </w:t>
      </w:r>
      <w:r w:rsidR="00BC6827">
        <w:rPr>
          <w:rFonts w:ascii="Arial" w:hAnsi="Arial" w:cs="Arial"/>
          <w:sz w:val="20"/>
          <w:szCs w:val="20"/>
        </w:rPr>
        <w:t xml:space="preserve">totalling </w:t>
      </w:r>
      <w:r w:rsidR="004E6CEB">
        <w:rPr>
          <w:rFonts w:ascii="Arial" w:hAnsi="Arial" w:cs="Arial"/>
          <w:sz w:val="20"/>
          <w:szCs w:val="20"/>
        </w:rPr>
        <w:t>$</w:t>
      </w:r>
      <w:r>
        <w:rPr>
          <w:rFonts w:ascii="Arial" w:hAnsi="Arial" w:cs="Arial"/>
          <w:sz w:val="20"/>
          <w:szCs w:val="20"/>
        </w:rPr>
        <w:t>2</w:t>
      </w:r>
      <w:r w:rsidR="004E6CEB">
        <w:rPr>
          <w:rFonts w:ascii="Arial" w:hAnsi="Arial" w:cs="Arial"/>
          <w:sz w:val="20"/>
          <w:szCs w:val="20"/>
        </w:rPr>
        <w:t>m.</w:t>
      </w:r>
      <w:r w:rsidR="00AD7BA0">
        <w:rPr>
          <w:rFonts w:ascii="Arial" w:hAnsi="Arial" w:cs="Arial"/>
          <w:sz w:val="20"/>
          <w:szCs w:val="20"/>
        </w:rPr>
        <w:t xml:space="preserve"> These are earmarked to be funded from the Aerodrome Reserve.</w:t>
      </w:r>
    </w:p>
    <w:p w14:paraId="2DA0EE79" w14:textId="77777777" w:rsidR="00575B51" w:rsidRDefault="00575B51" w:rsidP="00850A3A">
      <w:pPr>
        <w:spacing w:after="0" w:line="240" w:lineRule="auto"/>
        <w:jc w:val="both"/>
        <w:rPr>
          <w:rFonts w:ascii="Arial" w:hAnsi="Arial" w:cs="Arial"/>
          <w:sz w:val="20"/>
          <w:szCs w:val="20"/>
        </w:rPr>
      </w:pPr>
    </w:p>
    <w:p w14:paraId="11E9679C" w14:textId="0CCCDC7C" w:rsidR="00B63F93" w:rsidRDefault="006C1301" w:rsidP="00B63F93">
      <w:pPr>
        <w:spacing w:after="0" w:line="240" w:lineRule="auto"/>
        <w:jc w:val="both"/>
        <w:rPr>
          <w:rFonts w:ascii="Arial" w:eastAsiaTheme="minorEastAsia" w:hAnsi="Arial" w:cs="Arial"/>
          <w:sz w:val="20"/>
          <w:szCs w:val="20"/>
          <w:lang w:eastAsia="en-AU"/>
        </w:rPr>
      </w:pPr>
      <w:r w:rsidRPr="000F005D">
        <w:rPr>
          <w:rFonts w:ascii="Arial" w:eastAsiaTheme="minorEastAsia" w:hAnsi="Arial" w:cs="Arial"/>
          <w:sz w:val="20"/>
          <w:szCs w:val="20"/>
          <w:lang w:eastAsia="en-AU"/>
        </w:rPr>
        <w:t xml:space="preserve">The rate for this category </w:t>
      </w:r>
      <w:r w:rsidR="00BD7D9C">
        <w:rPr>
          <w:rFonts w:ascii="Arial" w:eastAsiaTheme="minorEastAsia" w:hAnsi="Arial" w:cs="Arial"/>
          <w:sz w:val="20"/>
          <w:szCs w:val="20"/>
          <w:lang w:eastAsia="en-AU"/>
        </w:rPr>
        <w:t>has a decrease</w:t>
      </w:r>
      <w:r w:rsidRPr="000F005D">
        <w:rPr>
          <w:rFonts w:ascii="Arial" w:eastAsiaTheme="minorEastAsia" w:hAnsi="Arial" w:cs="Arial"/>
          <w:sz w:val="20"/>
          <w:szCs w:val="20"/>
          <w:lang w:eastAsia="en-AU"/>
        </w:rPr>
        <w:t xml:space="preserve"> to the average rate for </w:t>
      </w:r>
      <w:r w:rsidR="00715762" w:rsidRPr="000F005D">
        <w:rPr>
          <w:rFonts w:ascii="Arial" w:eastAsiaTheme="minorEastAsia" w:hAnsi="Arial" w:cs="Arial"/>
          <w:sz w:val="20"/>
          <w:szCs w:val="20"/>
          <w:lang w:eastAsia="en-AU"/>
        </w:rPr>
        <w:t xml:space="preserve">properties </w:t>
      </w:r>
      <w:r w:rsidR="00715762" w:rsidRPr="00791B36">
        <w:rPr>
          <w:rFonts w:ascii="Arial" w:eastAsiaTheme="minorEastAsia" w:hAnsi="Arial" w:cs="Arial"/>
          <w:sz w:val="20"/>
          <w:szCs w:val="20"/>
          <w:lang w:eastAsia="en-AU"/>
        </w:rPr>
        <w:t>of</w:t>
      </w:r>
      <w:r w:rsidR="00505774">
        <w:rPr>
          <w:rFonts w:ascii="Arial" w:eastAsiaTheme="minorEastAsia" w:hAnsi="Arial" w:cs="Arial"/>
          <w:sz w:val="20"/>
          <w:szCs w:val="20"/>
          <w:lang w:eastAsia="en-AU"/>
        </w:rPr>
        <w:t xml:space="preserve"> </w:t>
      </w:r>
      <w:r w:rsidR="00B96CC8">
        <w:rPr>
          <w:rFonts w:ascii="Arial" w:eastAsiaTheme="minorEastAsia" w:hAnsi="Arial" w:cs="Arial"/>
          <w:sz w:val="20"/>
          <w:szCs w:val="20"/>
          <w:lang w:eastAsia="en-AU"/>
        </w:rPr>
        <w:t>29</w:t>
      </w:r>
      <w:r w:rsidR="00575B51" w:rsidRPr="00B96CC8">
        <w:rPr>
          <w:rFonts w:ascii="Arial" w:eastAsiaTheme="minorEastAsia" w:hAnsi="Arial" w:cs="Arial"/>
          <w:sz w:val="20"/>
          <w:szCs w:val="20"/>
          <w:lang w:eastAsia="en-AU"/>
        </w:rPr>
        <w:t>%</w:t>
      </w:r>
      <w:r w:rsidRPr="000F005D">
        <w:rPr>
          <w:rFonts w:ascii="Arial" w:eastAsiaTheme="minorEastAsia" w:hAnsi="Arial" w:cs="Arial"/>
          <w:sz w:val="20"/>
          <w:szCs w:val="20"/>
          <w:lang w:eastAsia="en-AU"/>
        </w:rPr>
        <w:t xml:space="preserve"> </w:t>
      </w:r>
      <w:r w:rsidR="00FC0BCD" w:rsidRPr="000F005D">
        <w:rPr>
          <w:rFonts w:ascii="Arial" w:eastAsiaTheme="minorEastAsia" w:hAnsi="Arial" w:cs="Arial"/>
          <w:sz w:val="20"/>
          <w:szCs w:val="20"/>
          <w:lang w:eastAsia="en-AU"/>
        </w:rPr>
        <w:t xml:space="preserve">with </w:t>
      </w:r>
      <w:r w:rsidR="005F1D37" w:rsidRPr="000F005D">
        <w:rPr>
          <w:rFonts w:ascii="Arial" w:eastAsiaTheme="minorEastAsia" w:hAnsi="Arial" w:cs="Arial"/>
          <w:sz w:val="20"/>
          <w:szCs w:val="20"/>
          <w:lang w:eastAsia="en-AU"/>
        </w:rPr>
        <w:t>a</w:t>
      </w:r>
      <w:r w:rsidR="00BE1177">
        <w:rPr>
          <w:rFonts w:ascii="Arial" w:eastAsiaTheme="minorEastAsia" w:hAnsi="Arial" w:cs="Arial"/>
          <w:sz w:val="20"/>
          <w:szCs w:val="20"/>
          <w:lang w:eastAsia="en-AU"/>
        </w:rPr>
        <w:t xml:space="preserve"> subsequent decrease</w:t>
      </w:r>
      <w:r w:rsidR="005F1D37" w:rsidRPr="000F005D">
        <w:rPr>
          <w:rFonts w:ascii="Arial" w:eastAsiaTheme="minorEastAsia" w:hAnsi="Arial" w:cs="Arial"/>
          <w:sz w:val="20"/>
          <w:szCs w:val="20"/>
          <w:lang w:eastAsia="en-AU"/>
        </w:rPr>
        <w:t xml:space="preserve"> </w:t>
      </w:r>
      <w:r w:rsidR="005A3235">
        <w:rPr>
          <w:rFonts w:ascii="Arial" w:eastAsiaTheme="minorEastAsia" w:hAnsi="Arial" w:cs="Arial"/>
          <w:sz w:val="20"/>
          <w:szCs w:val="20"/>
          <w:lang w:eastAsia="en-AU"/>
        </w:rPr>
        <w:t xml:space="preserve">in the rate-in-the-dollar for the </w:t>
      </w:r>
      <w:r w:rsidR="00C01E0B">
        <w:rPr>
          <w:rFonts w:ascii="Arial" w:eastAsiaTheme="minorEastAsia" w:hAnsi="Arial" w:cs="Arial"/>
          <w:sz w:val="20"/>
          <w:szCs w:val="20"/>
          <w:lang w:eastAsia="en-AU"/>
        </w:rPr>
        <w:t>202</w:t>
      </w:r>
      <w:r w:rsidR="00032D04">
        <w:rPr>
          <w:rFonts w:ascii="Arial" w:eastAsiaTheme="minorEastAsia" w:hAnsi="Arial" w:cs="Arial"/>
          <w:sz w:val="20"/>
          <w:szCs w:val="20"/>
          <w:lang w:eastAsia="en-AU"/>
        </w:rPr>
        <w:t>5</w:t>
      </w:r>
      <w:r w:rsidR="00C01E0B">
        <w:rPr>
          <w:rFonts w:ascii="Arial" w:eastAsiaTheme="minorEastAsia" w:hAnsi="Arial" w:cs="Arial"/>
          <w:sz w:val="20"/>
          <w:szCs w:val="20"/>
          <w:lang w:eastAsia="en-AU"/>
        </w:rPr>
        <w:t>/2</w:t>
      </w:r>
      <w:r w:rsidR="00032D04">
        <w:rPr>
          <w:rFonts w:ascii="Arial" w:eastAsiaTheme="minorEastAsia" w:hAnsi="Arial" w:cs="Arial"/>
          <w:sz w:val="20"/>
          <w:szCs w:val="20"/>
          <w:lang w:eastAsia="en-AU"/>
        </w:rPr>
        <w:t>6</w:t>
      </w:r>
      <w:r w:rsidRPr="000F005D">
        <w:rPr>
          <w:rFonts w:ascii="Arial" w:eastAsiaTheme="minorEastAsia" w:hAnsi="Arial" w:cs="Arial"/>
          <w:sz w:val="20"/>
          <w:szCs w:val="20"/>
          <w:lang w:eastAsia="en-AU"/>
        </w:rPr>
        <w:t xml:space="preserve"> financial year</w:t>
      </w:r>
      <w:r w:rsidR="00BE1177">
        <w:rPr>
          <w:rFonts w:ascii="Arial" w:eastAsiaTheme="minorEastAsia" w:hAnsi="Arial" w:cs="Arial"/>
          <w:sz w:val="20"/>
          <w:szCs w:val="20"/>
          <w:lang w:eastAsia="en-AU"/>
        </w:rPr>
        <w:t xml:space="preserve"> due to the GRV valuations</w:t>
      </w:r>
      <w:r w:rsidR="004B662D">
        <w:rPr>
          <w:rFonts w:ascii="Arial" w:eastAsiaTheme="minorEastAsia" w:hAnsi="Arial" w:cs="Arial"/>
          <w:sz w:val="20"/>
          <w:szCs w:val="20"/>
          <w:lang w:eastAsia="en-AU"/>
        </w:rPr>
        <w:t xml:space="preserve"> and </w:t>
      </w:r>
      <w:r w:rsidR="001A4457">
        <w:rPr>
          <w:rFonts w:ascii="Arial" w:eastAsiaTheme="minorEastAsia" w:hAnsi="Arial" w:cs="Arial"/>
          <w:sz w:val="20"/>
          <w:szCs w:val="20"/>
          <w:lang w:eastAsia="en-AU"/>
        </w:rPr>
        <w:t xml:space="preserve">remaining within </w:t>
      </w:r>
      <w:r w:rsidR="004B662D">
        <w:rPr>
          <w:rFonts w:ascii="Arial" w:eastAsiaTheme="minorEastAsia" w:hAnsi="Arial" w:cs="Arial"/>
          <w:sz w:val="20"/>
          <w:szCs w:val="20"/>
          <w:lang w:eastAsia="en-AU"/>
        </w:rPr>
        <w:t xml:space="preserve">the </w:t>
      </w:r>
      <w:r w:rsidR="001A4457">
        <w:rPr>
          <w:rFonts w:ascii="Arial" w:eastAsiaTheme="minorEastAsia" w:hAnsi="Arial" w:cs="Arial"/>
          <w:sz w:val="20"/>
          <w:szCs w:val="20"/>
          <w:lang w:eastAsia="en-AU"/>
        </w:rPr>
        <w:t>x</w:t>
      </w:r>
      <w:r w:rsidR="001474DF">
        <w:rPr>
          <w:rFonts w:ascii="Arial" w:eastAsiaTheme="minorEastAsia" w:hAnsi="Arial" w:cs="Arial"/>
          <w:sz w:val="20"/>
          <w:szCs w:val="20"/>
          <w:lang w:eastAsia="en-AU"/>
        </w:rPr>
        <w:t xml:space="preserve">2 </w:t>
      </w:r>
      <w:r w:rsidR="004B662D">
        <w:rPr>
          <w:rFonts w:ascii="Arial" w:eastAsiaTheme="minorEastAsia" w:hAnsi="Arial" w:cs="Arial"/>
          <w:sz w:val="20"/>
          <w:szCs w:val="20"/>
          <w:lang w:eastAsia="en-AU"/>
        </w:rPr>
        <w:t>multiplier</w:t>
      </w:r>
      <w:r w:rsidRPr="000F005D">
        <w:rPr>
          <w:rFonts w:ascii="Arial" w:eastAsiaTheme="minorEastAsia" w:hAnsi="Arial" w:cs="Arial"/>
          <w:sz w:val="20"/>
          <w:szCs w:val="20"/>
          <w:lang w:eastAsia="en-AU"/>
        </w:rPr>
        <w:t>.</w:t>
      </w:r>
      <w:r w:rsidR="003E4A91" w:rsidRPr="000F005D">
        <w:rPr>
          <w:rFonts w:ascii="Arial" w:eastAsiaTheme="minorEastAsia" w:hAnsi="Arial" w:cs="Arial"/>
          <w:sz w:val="20"/>
          <w:szCs w:val="20"/>
          <w:lang w:eastAsia="en-AU"/>
        </w:rPr>
        <w:t xml:space="preserve"> </w:t>
      </w:r>
      <w:r w:rsidR="00043E82">
        <w:rPr>
          <w:rFonts w:ascii="Arial" w:eastAsiaTheme="minorEastAsia" w:hAnsi="Arial" w:cs="Arial"/>
          <w:sz w:val="20"/>
          <w:szCs w:val="20"/>
          <w:lang w:eastAsia="en-AU"/>
        </w:rPr>
        <w:t>The rate yield is decreasing</w:t>
      </w:r>
      <w:r w:rsidR="00081556">
        <w:rPr>
          <w:rFonts w:ascii="Arial" w:eastAsiaTheme="minorEastAsia" w:hAnsi="Arial" w:cs="Arial"/>
          <w:sz w:val="20"/>
          <w:szCs w:val="20"/>
          <w:lang w:eastAsia="en-AU"/>
        </w:rPr>
        <w:t xml:space="preserve"> from 2024/25 $</w:t>
      </w:r>
      <w:r w:rsidR="001A4457">
        <w:rPr>
          <w:rFonts w:ascii="Arial" w:eastAsiaTheme="minorEastAsia" w:hAnsi="Arial" w:cs="Arial"/>
          <w:sz w:val="20"/>
          <w:szCs w:val="20"/>
          <w:lang w:eastAsia="en-AU"/>
        </w:rPr>
        <w:t xml:space="preserve">1.98m to $1.4m </w:t>
      </w:r>
      <w:r w:rsidR="00081556">
        <w:rPr>
          <w:rFonts w:ascii="Arial" w:eastAsiaTheme="minorEastAsia" w:hAnsi="Arial" w:cs="Arial"/>
          <w:sz w:val="20"/>
          <w:szCs w:val="20"/>
          <w:lang w:eastAsia="en-AU"/>
        </w:rPr>
        <w:t>for this category</w:t>
      </w:r>
      <w:r w:rsidR="001A4457">
        <w:rPr>
          <w:rFonts w:ascii="Arial" w:eastAsiaTheme="minorEastAsia" w:hAnsi="Arial" w:cs="Arial"/>
          <w:sz w:val="20"/>
          <w:szCs w:val="20"/>
          <w:lang w:eastAsia="en-AU"/>
        </w:rPr>
        <w:t>.</w:t>
      </w:r>
      <w:r w:rsidR="00081556">
        <w:rPr>
          <w:rFonts w:ascii="Arial" w:eastAsiaTheme="minorEastAsia" w:hAnsi="Arial" w:cs="Arial"/>
          <w:sz w:val="20"/>
          <w:szCs w:val="20"/>
          <w:lang w:eastAsia="en-AU"/>
        </w:rPr>
        <w:t xml:space="preserve"> </w:t>
      </w:r>
      <w:r w:rsidR="003E4A91" w:rsidRPr="000F005D">
        <w:rPr>
          <w:rFonts w:ascii="Arial" w:eastAsiaTheme="minorEastAsia" w:hAnsi="Arial" w:cs="Arial"/>
          <w:sz w:val="20"/>
          <w:szCs w:val="20"/>
          <w:lang w:eastAsia="en-AU"/>
        </w:rPr>
        <w:t xml:space="preserve">The minimum rate of </w:t>
      </w:r>
      <w:r w:rsidR="003E4A91" w:rsidRPr="00856AF1">
        <w:rPr>
          <w:rFonts w:ascii="Arial" w:eastAsiaTheme="minorEastAsia" w:hAnsi="Arial" w:cs="Arial"/>
          <w:sz w:val="20"/>
          <w:szCs w:val="20"/>
          <w:lang w:eastAsia="en-AU"/>
        </w:rPr>
        <w:t>$</w:t>
      </w:r>
      <w:r w:rsidR="006354A0" w:rsidRPr="00856AF1">
        <w:rPr>
          <w:rFonts w:ascii="Arial" w:eastAsiaTheme="minorEastAsia" w:hAnsi="Arial" w:cs="Arial"/>
          <w:sz w:val="20"/>
          <w:szCs w:val="20"/>
          <w:lang w:eastAsia="en-AU"/>
        </w:rPr>
        <w:t>1,</w:t>
      </w:r>
      <w:r w:rsidR="00191787" w:rsidRPr="00856AF1">
        <w:rPr>
          <w:rFonts w:ascii="Arial" w:eastAsiaTheme="minorEastAsia" w:hAnsi="Arial" w:cs="Arial"/>
          <w:sz w:val="20"/>
          <w:szCs w:val="20"/>
          <w:lang w:eastAsia="en-AU"/>
        </w:rPr>
        <w:t>750</w:t>
      </w:r>
      <w:r w:rsidR="003E4A91" w:rsidRPr="00856AF1">
        <w:rPr>
          <w:rFonts w:ascii="Arial" w:eastAsiaTheme="minorEastAsia" w:hAnsi="Arial" w:cs="Arial"/>
          <w:sz w:val="20"/>
          <w:szCs w:val="20"/>
          <w:lang w:eastAsia="en-AU"/>
        </w:rPr>
        <w:t xml:space="preserve"> is</w:t>
      </w:r>
      <w:r w:rsidR="003E4A91" w:rsidRPr="000F005D">
        <w:rPr>
          <w:rFonts w:ascii="Arial" w:eastAsiaTheme="minorEastAsia" w:hAnsi="Arial" w:cs="Arial"/>
          <w:sz w:val="20"/>
          <w:szCs w:val="20"/>
          <w:lang w:eastAsia="en-AU"/>
        </w:rPr>
        <w:t xml:space="preserve"> to ensure that all ratepayers make a reasonable contribution for basic services and infrastructure.</w:t>
      </w:r>
    </w:p>
    <w:p w14:paraId="4238825F" w14:textId="77777777" w:rsidR="00307D36" w:rsidRDefault="00307D36" w:rsidP="00B63F93">
      <w:pPr>
        <w:spacing w:after="0" w:line="240" w:lineRule="auto"/>
        <w:jc w:val="both"/>
        <w:rPr>
          <w:rFonts w:ascii="Arial" w:eastAsiaTheme="minorEastAsia" w:hAnsi="Arial" w:cs="Arial"/>
          <w:sz w:val="20"/>
          <w:szCs w:val="20"/>
          <w:lang w:eastAsia="en-AU"/>
        </w:rPr>
      </w:pPr>
    </w:p>
    <w:p w14:paraId="0CEE40EB" w14:textId="1557FB3F" w:rsidR="00604354" w:rsidRDefault="00604354" w:rsidP="00850A3A">
      <w:pPr>
        <w:spacing w:after="0" w:line="240" w:lineRule="auto"/>
        <w:jc w:val="both"/>
        <w:rPr>
          <w:rFonts w:ascii="Arial" w:hAnsi="Arial" w:cs="Arial"/>
          <w:sz w:val="20"/>
          <w:szCs w:val="20"/>
        </w:rPr>
      </w:pPr>
      <w:r w:rsidRPr="00604354">
        <w:rPr>
          <w:rFonts w:ascii="Arial" w:hAnsi="Arial" w:cs="Arial"/>
          <w:b/>
          <w:sz w:val="20"/>
          <w:szCs w:val="20"/>
        </w:rPr>
        <w:t>Transient Workforce Accommodation/Workforce Accommodation –</w:t>
      </w:r>
      <w:r w:rsidRPr="00604354">
        <w:rPr>
          <w:rFonts w:ascii="Arial" w:hAnsi="Arial" w:cs="Arial"/>
          <w:sz w:val="20"/>
          <w:szCs w:val="20"/>
        </w:rPr>
        <w:t xml:space="preserve"> means any land:</w:t>
      </w:r>
    </w:p>
    <w:p w14:paraId="2B3D3903" w14:textId="6A554D4D" w:rsidR="00604354" w:rsidRPr="00604354" w:rsidRDefault="00604354" w:rsidP="003C6D47">
      <w:pPr>
        <w:pStyle w:val="ListParagraph"/>
        <w:numPr>
          <w:ilvl w:val="0"/>
          <w:numId w:val="3"/>
        </w:numPr>
        <w:jc w:val="both"/>
        <w:rPr>
          <w:rFonts w:cs="Arial"/>
          <w:szCs w:val="20"/>
        </w:rPr>
      </w:pPr>
      <w:r w:rsidRPr="00604354">
        <w:rPr>
          <w:rFonts w:cs="Arial"/>
          <w:szCs w:val="20"/>
        </w:rPr>
        <w:t xml:space="preserve">that is predominately used for the purpose of workforce </w:t>
      </w:r>
      <w:r w:rsidR="00E15163" w:rsidRPr="00604354">
        <w:rPr>
          <w:rFonts w:cs="Arial"/>
          <w:szCs w:val="20"/>
        </w:rPr>
        <w:t>accommodation.</w:t>
      </w:r>
      <w:r w:rsidRPr="00604354">
        <w:rPr>
          <w:rFonts w:cs="Arial"/>
          <w:szCs w:val="20"/>
        </w:rPr>
        <w:t xml:space="preserve"> </w:t>
      </w:r>
    </w:p>
    <w:p w14:paraId="66C0E00F" w14:textId="77777777" w:rsidR="00604354" w:rsidRPr="00604354" w:rsidRDefault="00604354" w:rsidP="003C6D47">
      <w:pPr>
        <w:pStyle w:val="NoSpacing"/>
        <w:spacing w:before="40" w:after="40"/>
        <w:ind w:firstLine="720"/>
        <w:rPr>
          <w:rFonts w:ascii="Arial" w:hAnsi="Arial" w:cs="Arial"/>
          <w:b/>
          <w:sz w:val="20"/>
          <w:szCs w:val="20"/>
        </w:rPr>
      </w:pPr>
      <w:r w:rsidRPr="00604354">
        <w:rPr>
          <w:rFonts w:ascii="Arial" w:hAnsi="Arial" w:cs="Arial"/>
          <w:b/>
          <w:sz w:val="20"/>
          <w:szCs w:val="20"/>
        </w:rPr>
        <w:t>or</w:t>
      </w:r>
    </w:p>
    <w:p w14:paraId="10609397" w14:textId="019CA367" w:rsidR="00604354" w:rsidRPr="00604354" w:rsidRDefault="00604354" w:rsidP="003C6D47">
      <w:pPr>
        <w:pStyle w:val="ListParagraph"/>
        <w:numPr>
          <w:ilvl w:val="0"/>
          <w:numId w:val="3"/>
        </w:numPr>
        <w:jc w:val="both"/>
        <w:rPr>
          <w:rFonts w:cs="Arial"/>
          <w:szCs w:val="20"/>
        </w:rPr>
      </w:pPr>
      <w:r w:rsidRPr="00604354">
        <w:rPr>
          <w:rFonts w:cs="Arial"/>
          <w:szCs w:val="20"/>
        </w:rPr>
        <w:t xml:space="preserve">that is predominately used for the purpose of transient workforce </w:t>
      </w:r>
      <w:r w:rsidR="00E15163" w:rsidRPr="00604354">
        <w:rPr>
          <w:rFonts w:cs="Arial"/>
          <w:szCs w:val="20"/>
        </w:rPr>
        <w:t>accommodation.</w:t>
      </w:r>
    </w:p>
    <w:p w14:paraId="640AD029" w14:textId="77777777" w:rsidR="00604354" w:rsidRPr="00604354" w:rsidRDefault="00604354" w:rsidP="003C6D47">
      <w:pPr>
        <w:pStyle w:val="NoSpacing"/>
        <w:spacing w:before="40" w:after="40"/>
        <w:ind w:firstLine="720"/>
        <w:rPr>
          <w:rFonts w:ascii="Arial" w:hAnsi="Arial" w:cs="Arial"/>
          <w:b/>
          <w:sz w:val="20"/>
          <w:szCs w:val="20"/>
        </w:rPr>
      </w:pPr>
      <w:r w:rsidRPr="00604354">
        <w:rPr>
          <w:rFonts w:ascii="Arial" w:hAnsi="Arial" w:cs="Arial"/>
          <w:b/>
          <w:sz w:val="20"/>
          <w:szCs w:val="20"/>
        </w:rPr>
        <w:t>or</w:t>
      </w:r>
    </w:p>
    <w:p w14:paraId="0DE0999A" w14:textId="77777777" w:rsidR="00604354" w:rsidRPr="00604354" w:rsidRDefault="00604354" w:rsidP="003C6D47">
      <w:pPr>
        <w:pStyle w:val="ListParagraph"/>
        <w:numPr>
          <w:ilvl w:val="0"/>
          <w:numId w:val="3"/>
        </w:numPr>
        <w:jc w:val="both"/>
        <w:rPr>
          <w:rFonts w:cs="Arial"/>
          <w:szCs w:val="20"/>
        </w:rPr>
      </w:pPr>
      <w:r w:rsidRPr="00604354">
        <w:rPr>
          <w:rFonts w:cs="Arial"/>
          <w:szCs w:val="20"/>
        </w:rPr>
        <w:t>that has been zoned as Transient Workforce.</w:t>
      </w:r>
    </w:p>
    <w:p w14:paraId="7C716137" w14:textId="77777777" w:rsidR="00604354" w:rsidRPr="00604354" w:rsidRDefault="00604354" w:rsidP="00850A3A">
      <w:pPr>
        <w:pStyle w:val="NoSpacing"/>
        <w:rPr>
          <w:rFonts w:ascii="Arial" w:hAnsi="Arial" w:cs="Arial"/>
          <w:sz w:val="20"/>
          <w:szCs w:val="20"/>
        </w:rPr>
      </w:pPr>
    </w:p>
    <w:p w14:paraId="24AB64A2" w14:textId="6FB851D6" w:rsidR="00DC7E4D" w:rsidRPr="005F1D37" w:rsidRDefault="00604354" w:rsidP="00850A3A">
      <w:pPr>
        <w:spacing w:after="0" w:line="240" w:lineRule="auto"/>
        <w:jc w:val="both"/>
        <w:rPr>
          <w:rFonts w:ascii="Arial" w:hAnsi="Arial" w:cs="Arial"/>
          <w:sz w:val="20"/>
          <w:szCs w:val="20"/>
        </w:rPr>
      </w:pPr>
      <w:r w:rsidRPr="005F1D37">
        <w:rPr>
          <w:rFonts w:ascii="Arial" w:hAnsi="Arial" w:cs="Arial"/>
          <w:sz w:val="20"/>
          <w:szCs w:val="20"/>
        </w:rPr>
        <w:lastRenderedPageBreak/>
        <w:t>The rate in the dollar for the Transient Workforce Accommodation</w:t>
      </w:r>
      <w:r w:rsidR="00622E07" w:rsidRPr="005F1D37">
        <w:rPr>
          <w:rFonts w:ascii="Arial" w:hAnsi="Arial" w:cs="Arial"/>
          <w:sz w:val="20"/>
          <w:szCs w:val="20"/>
        </w:rPr>
        <w:t>/Workforce Accommodation</w:t>
      </w:r>
      <w:r w:rsidR="002552A2">
        <w:rPr>
          <w:rFonts w:ascii="Arial" w:hAnsi="Arial" w:cs="Arial"/>
          <w:sz w:val="20"/>
          <w:szCs w:val="20"/>
        </w:rPr>
        <w:t xml:space="preserve"> (TWA)</w:t>
      </w:r>
      <w:r w:rsidR="00622E07" w:rsidRPr="005F1D37">
        <w:rPr>
          <w:rFonts w:ascii="Arial" w:hAnsi="Arial" w:cs="Arial"/>
          <w:sz w:val="20"/>
          <w:szCs w:val="20"/>
        </w:rPr>
        <w:t xml:space="preserve"> </w:t>
      </w:r>
      <w:r w:rsidRPr="005F1D37">
        <w:rPr>
          <w:rFonts w:ascii="Arial" w:hAnsi="Arial" w:cs="Arial"/>
          <w:sz w:val="20"/>
          <w:szCs w:val="20"/>
        </w:rPr>
        <w:t xml:space="preserve">category is proposed </w:t>
      </w:r>
      <w:r w:rsidRPr="001474DF">
        <w:rPr>
          <w:rFonts w:ascii="Arial" w:hAnsi="Arial" w:cs="Arial"/>
          <w:sz w:val="20"/>
          <w:szCs w:val="20"/>
        </w:rPr>
        <w:t xml:space="preserve">to be </w:t>
      </w:r>
      <w:r w:rsidR="00191787" w:rsidRPr="001474DF">
        <w:rPr>
          <w:rFonts w:ascii="Arial" w:hAnsi="Arial" w:cs="Arial"/>
          <w:sz w:val="20"/>
          <w:szCs w:val="20"/>
        </w:rPr>
        <w:t>four</w:t>
      </w:r>
      <w:r w:rsidR="009B134A" w:rsidRPr="001474DF">
        <w:rPr>
          <w:rFonts w:ascii="Arial" w:hAnsi="Arial" w:cs="Arial"/>
          <w:sz w:val="20"/>
          <w:szCs w:val="20"/>
        </w:rPr>
        <w:t xml:space="preserve"> times</w:t>
      </w:r>
      <w:r w:rsidR="00D309D7" w:rsidRPr="001474DF">
        <w:rPr>
          <w:rFonts w:ascii="Arial" w:hAnsi="Arial" w:cs="Arial"/>
          <w:sz w:val="20"/>
          <w:szCs w:val="20"/>
        </w:rPr>
        <w:t xml:space="preserve"> </w:t>
      </w:r>
      <w:r w:rsidRPr="001474DF">
        <w:rPr>
          <w:rFonts w:ascii="Arial" w:hAnsi="Arial" w:cs="Arial"/>
          <w:sz w:val="20"/>
          <w:szCs w:val="20"/>
        </w:rPr>
        <w:t>(x</w:t>
      </w:r>
      <w:r w:rsidR="00603E83" w:rsidRPr="001474DF">
        <w:rPr>
          <w:rFonts w:ascii="Arial" w:hAnsi="Arial" w:cs="Arial"/>
          <w:sz w:val="20"/>
          <w:szCs w:val="20"/>
        </w:rPr>
        <w:t>4</w:t>
      </w:r>
      <w:r w:rsidR="009B134A" w:rsidRPr="001474DF">
        <w:rPr>
          <w:rFonts w:ascii="Arial" w:hAnsi="Arial" w:cs="Arial"/>
          <w:sz w:val="20"/>
          <w:szCs w:val="20"/>
        </w:rPr>
        <w:t>.</w:t>
      </w:r>
      <w:r w:rsidR="00603E83" w:rsidRPr="001474DF">
        <w:rPr>
          <w:rFonts w:ascii="Arial" w:hAnsi="Arial" w:cs="Arial"/>
          <w:sz w:val="20"/>
          <w:szCs w:val="20"/>
        </w:rPr>
        <w:t>0</w:t>
      </w:r>
      <w:r w:rsidRPr="001474DF">
        <w:rPr>
          <w:rFonts w:ascii="Arial" w:hAnsi="Arial" w:cs="Arial"/>
          <w:sz w:val="20"/>
          <w:szCs w:val="20"/>
        </w:rPr>
        <w:t>) t</w:t>
      </w:r>
      <w:r w:rsidRPr="005F1D37">
        <w:rPr>
          <w:rFonts w:ascii="Arial" w:hAnsi="Arial" w:cs="Arial"/>
          <w:sz w:val="20"/>
          <w:szCs w:val="20"/>
        </w:rPr>
        <w:t xml:space="preserve">he Residential rate category </w:t>
      </w:r>
      <w:r w:rsidR="009B134A">
        <w:rPr>
          <w:rFonts w:ascii="Arial" w:hAnsi="Arial" w:cs="Arial"/>
          <w:sz w:val="20"/>
          <w:szCs w:val="20"/>
        </w:rPr>
        <w:t xml:space="preserve">(also the </w:t>
      </w:r>
      <w:r w:rsidRPr="005F1D37">
        <w:rPr>
          <w:rFonts w:ascii="Arial" w:hAnsi="Arial" w:cs="Arial"/>
          <w:sz w:val="20"/>
          <w:szCs w:val="20"/>
        </w:rPr>
        <w:t>lowest GRV rate in the dollar</w:t>
      </w:r>
      <w:r w:rsidR="009B134A">
        <w:rPr>
          <w:rFonts w:ascii="Arial" w:hAnsi="Arial" w:cs="Arial"/>
          <w:sz w:val="20"/>
          <w:szCs w:val="20"/>
        </w:rPr>
        <w:t xml:space="preserve"> category).</w:t>
      </w:r>
    </w:p>
    <w:p w14:paraId="5E4052D2" w14:textId="77777777" w:rsidR="00DC7E4D" w:rsidRPr="00FD7515" w:rsidRDefault="00DC7E4D">
      <w:pPr>
        <w:spacing w:after="0" w:line="240" w:lineRule="auto"/>
        <w:jc w:val="both"/>
        <w:rPr>
          <w:rFonts w:ascii="Arial" w:hAnsi="Arial" w:cs="Arial"/>
          <w:sz w:val="20"/>
          <w:szCs w:val="20"/>
          <w:highlight w:val="yellow"/>
        </w:rPr>
      </w:pPr>
    </w:p>
    <w:p w14:paraId="64B6366D" w14:textId="77777777" w:rsidR="00604354" w:rsidRDefault="00604354" w:rsidP="00604354">
      <w:pPr>
        <w:pStyle w:val="NoSpacing"/>
        <w:jc w:val="both"/>
        <w:rPr>
          <w:rFonts w:ascii="Arial" w:hAnsi="Arial" w:cs="Arial"/>
          <w:sz w:val="20"/>
          <w:szCs w:val="20"/>
        </w:rPr>
      </w:pPr>
      <w:r w:rsidRPr="00604354">
        <w:rPr>
          <w:rFonts w:ascii="Arial" w:hAnsi="Arial" w:cs="Arial"/>
          <w:sz w:val="20"/>
          <w:szCs w:val="20"/>
        </w:rPr>
        <w:t xml:space="preserve">This differential rate maintains </w:t>
      </w:r>
      <w:r w:rsidR="00C418AB">
        <w:rPr>
          <w:rFonts w:ascii="Arial" w:hAnsi="Arial" w:cs="Arial"/>
          <w:sz w:val="20"/>
          <w:szCs w:val="20"/>
        </w:rPr>
        <w:t xml:space="preserve">a proportional share of rating required to raise the necessary revenue to operate efficiently and provide the diverse range of services and programs and associated infrastructure/facilities required for developed residential and urban areas. </w:t>
      </w:r>
      <w:r w:rsidR="00404B97">
        <w:rPr>
          <w:rFonts w:ascii="Arial" w:hAnsi="Arial" w:cs="Arial"/>
          <w:sz w:val="20"/>
          <w:szCs w:val="20"/>
        </w:rPr>
        <w:t>These services, programs and facilities are available to FIFO workers in the same manner as they are available to all other residents of the City and the contribution from this category has been set at a level that reflects this fact.</w:t>
      </w:r>
    </w:p>
    <w:p w14:paraId="3D52E244" w14:textId="77777777" w:rsidR="00165BD3" w:rsidRDefault="00165BD3" w:rsidP="00604354">
      <w:pPr>
        <w:pStyle w:val="NoSpacing"/>
        <w:jc w:val="both"/>
        <w:rPr>
          <w:rFonts w:ascii="Arial" w:hAnsi="Arial" w:cs="Arial"/>
          <w:sz w:val="20"/>
          <w:szCs w:val="20"/>
        </w:rPr>
      </w:pPr>
    </w:p>
    <w:p w14:paraId="2FBF2F68" w14:textId="2A33381F" w:rsidR="009917BA" w:rsidRDefault="00165BD3" w:rsidP="009917BA">
      <w:pPr>
        <w:spacing w:after="0" w:line="240" w:lineRule="auto"/>
        <w:jc w:val="both"/>
        <w:rPr>
          <w:rFonts w:ascii="Arial" w:eastAsiaTheme="minorEastAsia" w:hAnsi="Arial" w:cs="Arial"/>
          <w:sz w:val="20"/>
          <w:szCs w:val="20"/>
          <w:lang w:eastAsia="en-AU"/>
        </w:rPr>
      </w:pPr>
      <w:r>
        <w:rPr>
          <w:rFonts w:ascii="Arial" w:eastAsiaTheme="minorEastAsia" w:hAnsi="Arial" w:cs="Arial"/>
          <w:sz w:val="20"/>
          <w:szCs w:val="20"/>
          <w:lang w:eastAsia="en-AU"/>
        </w:rPr>
        <w:t xml:space="preserve">Council is focused on sustainably managing its community and infrastructure assets through the funding of renewal and replacement asset programs. These programs include </w:t>
      </w:r>
      <w:r w:rsidR="003D481D">
        <w:rPr>
          <w:rFonts w:ascii="Arial" w:eastAsiaTheme="minorEastAsia" w:hAnsi="Arial" w:cs="Arial"/>
          <w:sz w:val="20"/>
          <w:szCs w:val="20"/>
          <w:lang w:eastAsia="en-AU"/>
        </w:rPr>
        <w:t xml:space="preserve">but are not limited to </w:t>
      </w:r>
      <w:r>
        <w:rPr>
          <w:rFonts w:ascii="Arial" w:eastAsiaTheme="minorEastAsia" w:hAnsi="Arial" w:cs="Arial"/>
          <w:sz w:val="20"/>
          <w:szCs w:val="20"/>
          <w:lang w:eastAsia="en-AU"/>
        </w:rPr>
        <w:t>investment in</w:t>
      </w:r>
      <w:r w:rsidR="001949D5">
        <w:rPr>
          <w:rFonts w:ascii="Arial" w:eastAsiaTheme="minorEastAsia" w:hAnsi="Arial" w:cs="Arial"/>
          <w:sz w:val="20"/>
          <w:szCs w:val="20"/>
          <w:lang w:eastAsia="en-AU"/>
        </w:rPr>
        <w:t xml:space="preserve"> upgrading of community facility assets, </w:t>
      </w:r>
      <w:r>
        <w:rPr>
          <w:rFonts w:ascii="Arial" w:eastAsiaTheme="minorEastAsia" w:hAnsi="Arial" w:cs="Arial"/>
          <w:sz w:val="20"/>
          <w:szCs w:val="20"/>
          <w:lang w:eastAsia="en-AU"/>
        </w:rPr>
        <w:t xml:space="preserve">the resealing of roads, </w:t>
      </w:r>
      <w:r w:rsidR="000F527A">
        <w:rPr>
          <w:rFonts w:ascii="Arial" w:eastAsiaTheme="minorEastAsia" w:hAnsi="Arial" w:cs="Arial"/>
          <w:sz w:val="20"/>
          <w:szCs w:val="20"/>
          <w:lang w:eastAsia="en-AU"/>
        </w:rPr>
        <w:t>replacement,</w:t>
      </w:r>
      <w:r>
        <w:rPr>
          <w:rFonts w:ascii="Arial" w:eastAsiaTheme="minorEastAsia" w:hAnsi="Arial" w:cs="Arial"/>
          <w:sz w:val="20"/>
          <w:szCs w:val="20"/>
          <w:lang w:eastAsia="en-AU"/>
        </w:rPr>
        <w:t xml:space="preserve"> and development of footpath networks, refurbishing of public ablutions and other building maintenance programs.</w:t>
      </w:r>
      <w:r w:rsidR="009917BA">
        <w:rPr>
          <w:rFonts w:ascii="Arial" w:eastAsiaTheme="minorEastAsia" w:hAnsi="Arial" w:cs="Arial"/>
          <w:sz w:val="20"/>
          <w:szCs w:val="20"/>
          <w:lang w:eastAsia="en-AU"/>
        </w:rPr>
        <w:t xml:space="preserve"> In </w:t>
      </w:r>
      <w:r w:rsidR="001F06F2">
        <w:rPr>
          <w:rFonts w:ascii="Arial" w:eastAsiaTheme="minorEastAsia" w:hAnsi="Arial" w:cs="Arial"/>
          <w:sz w:val="20"/>
          <w:szCs w:val="20"/>
          <w:lang w:eastAsia="en-AU"/>
        </w:rPr>
        <w:t>addition,</w:t>
      </w:r>
      <w:r w:rsidR="009917BA">
        <w:rPr>
          <w:rFonts w:ascii="Arial" w:eastAsiaTheme="minorEastAsia" w:hAnsi="Arial" w:cs="Arial"/>
          <w:sz w:val="20"/>
          <w:szCs w:val="20"/>
          <w:lang w:eastAsia="en-AU"/>
        </w:rPr>
        <w:t xml:space="preserve"> these properties have access to all other services and facilities provided by Council.</w:t>
      </w:r>
    </w:p>
    <w:p w14:paraId="548A876A" w14:textId="54FDFC4B" w:rsidR="00165BD3" w:rsidRDefault="00764D9D" w:rsidP="00850A3A">
      <w:pPr>
        <w:spacing w:before="240" w:after="0" w:line="240" w:lineRule="auto"/>
        <w:jc w:val="both"/>
        <w:rPr>
          <w:rFonts w:ascii="Arial" w:hAnsi="Arial" w:cs="Arial"/>
          <w:sz w:val="20"/>
          <w:szCs w:val="20"/>
        </w:rPr>
      </w:pPr>
      <w:r w:rsidRPr="00881C19">
        <w:rPr>
          <w:rFonts w:ascii="Arial" w:hAnsi="Arial" w:cs="Arial"/>
          <w:sz w:val="20"/>
          <w:szCs w:val="20"/>
        </w:rPr>
        <w:t xml:space="preserve">The rates </w:t>
      </w:r>
      <w:r w:rsidR="001949D5">
        <w:rPr>
          <w:rFonts w:ascii="Arial" w:hAnsi="Arial" w:cs="Arial"/>
          <w:sz w:val="20"/>
          <w:szCs w:val="20"/>
        </w:rPr>
        <w:t>relating to</w:t>
      </w:r>
      <w:r w:rsidRPr="00881C19">
        <w:rPr>
          <w:rFonts w:ascii="Arial" w:hAnsi="Arial" w:cs="Arial"/>
          <w:sz w:val="20"/>
          <w:szCs w:val="20"/>
        </w:rPr>
        <w:t xml:space="preserve"> </w:t>
      </w:r>
      <w:r w:rsidR="003D481D">
        <w:rPr>
          <w:rFonts w:ascii="Arial" w:hAnsi="Arial" w:cs="Arial"/>
          <w:sz w:val="20"/>
          <w:szCs w:val="20"/>
        </w:rPr>
        <w:t>T</w:t>
      </w:r>
      <w:r w:rsidR="001949D5">
        <w:rPr>
          <w:rFonts w:ascii="Arial" w:hAnsi="Arial" w:cs="Arial"/>
          <w:sz w:val="20"/>
          <w:szCs w:val="20"/>
        </w:rPr>
        <w:t xml:space="preserve">ransient </w:t>
      </w:r>
      <w:r w:rsidR="003D481D">
        <w:rPr>
          <w:rFonts w:ascii="Arial" w:hAnsi="Arial" w:cs="Arial"/>
          <w:sz w:val="20"/>
          <w:szCs w:val="20"/>
        </w:rPr>
        <w:t>W</w:t>
      </w:r>
      <w:r w:rsidR="001949D5">
        <w:rPr>
          <w:rFonts w:ascii="Arial" w:hAnsi="Arial" w:cs="Arial"/>
          <w:sz w:val="20"/>
          <w:szCs w:val="20"/>
        </w:rPr>
        <w:t>orker</w:t>
      </w:r>
      <w:r w:rsidR="003D481D">
        <w:rPr>
          <w:rFonts w:ascii="Arial" w:hAnsi="Arial" w:cs="Arial"/>
          <w:sz w:val="20"/>
          <w:szCs w:val="20"/>
        </w:rPr>
        <w:t xml:space="preserve"> </w:t>
      </w:r>
      <w:r w:rsidR="00DD4309">
        <w:rPr>
          <w:rFonts w:ascii="Arial" w:hAnsi="Arial" w:cs="Arial"/>
          <w:sz w:val="20"/>
          <w:szCs w:val="20"/>
        </w:rPr>
        <w:t>A</w:t>
      </w:r>
      <w:r w:rsidRPr="00881C19">
        <w:rPr>
          <w:rFonts w:ascii="Arial" w:hAnsi="Arial" w:cs="Arial"/>
          <w:sz w:val="20"/>
          <w:szCs w:val="20"/>
        </w:rPr>
        <w:t>ccommodation</w:t>
      </w:r>
      <w:r w:rsidR="00DD4309">
        <w:rPr>
          <w:rFonts w:ascii="Arial" w:hAnsi="Arial" w:cs="Arial"/>
          <w:sz w:val="20"/>
          <w:szCs w:val="20"/>
        </w:rPr>
        <w:t xml:space="preserve"> (TWA)</w:t>
      </w:r>
      <w:r w:rsidRPr="00881C19">
        <w:rPr>
          <w:rFonts w:ascii="Arial" w:hAnsi="Arial" w:cs="Arial"/>
          <w:sz w:val="20"/>
          <w:szCs w:val="20"/>
        </w:rPr>
        <w:t xml:space="preserve"> unit</w:t>
      </w:r>
      <w:r w:rsidR="00DD4309">
        <w:rPr>
          <w:rFonts w:ascii="Arial" w:hAnsi="Arial" w:cs="Arial"/>
          <w:sz w:val="20"/>
          <w:szCs w:val="20"/>
        </w:rPr>
        <w:t>s</w:t>
      </w:r>
      <w:r w:rsidRPr="00881C19">
        <w:rPr>
          <w:rFonts w:ascii="Arial" w:hAnsi="Arial" w:cs="Arial"/>
          <w:sz w:val="20"/>
          <w:szCs w:val="20"/>
        </w:rPr>
        <w:t xml:space="preserve"> </w:t>
      </w:r>
      <w:r w:rsidR="00441C5C">
        <w:rPr>
          <w:rFonts w:ascii="Arial" w:hAnsi="Arial" w:cs="Arial"/>
          <w:sz w:val="20"/>
          <w:szCs w:val="20"/>
        </w:rPr>
        <w:t>are</w:t>
      </w:r>
      <w:r>
        <w:rPr>
          <w:rFonts w:ascii="Arial" w:hAnsi="Arial" w:cs="Arial"/>
          <w:sz w:val="20"/>
          <w:szCs w:val="20"/>
        </w:rPr>
        <w:t xml:space="preserve"> less than the </w:t>
      </w:r>
      <w:r w:rsidR="00847528">
        <w:rPr>
          <w:rFonts w:ascii="Arial" w:hAnsi="Arial" w:cs="Arial"/>
          <w:sz w:val="20"/>
          <w:szCs w:val="20"/>
        </w:rPr>
        <w:t>equivalent</w:t>
      </w:r>
      <w:r>
        <w:rPr>
          <w:rFonts w:ascii="Arial" w:hAnsi="Arial" w:cs="Arial"/>
          <w:sz w:val="20"/>
          <w:szCs w:val="20"/>
        </w:rPr>
        <w:t xml:space="preserve"> rate </w:t>
      </w:r>
      <w:r w:rsidR="00847528">
        <w:rPr>
          <w:rFonts w:ascii="Arial" w:hAnsi="Arial" w:cs="Arial"/>
          <w:sz w:val="20"/>
          <w:szCs w:val="20"/>
        </w:rPr>
        <w:t>per</w:t>
      </w:r>
      <w:r>
        <w:rPr>
          <w:rFonts w:ascii="Arial" w:hAnsi="Arial" w:cs="Arial"/>
          <w:sz w:val="20"/>
          <w:szCs w:val="20"/>
        </w:rPr>
        <w:t xml:space="preserve"> </w:t>
      </w:r>
      <w:r w:rsidR="00847528">
        <w:rPr>
          <w:rFonts w:ascii="Arial" w:hAnsi="Arial" w:cs="Arial"/>
          <w:sz w:val="20"/>
          <w:szCs w:val="20"/>
        </w:rPr>
        <w:t xml:space="preserve">residential accommodation </w:t>
      </w:r>
      <w:r w:rsidR="00847528" w:rsidRPr="000F005D">
        <w:rPr>
          <w:rFonts w:ascii="Arial" w:hAnsi="Arial" w:cs="Arial"/>
          <w:sz w:val="20"/>
          <w:szCs w:val="20"/>
        </w:rPr>
        <w:t xml:space="preserve">unit </w:t>
      </w:r>
      <w:r w:rsidR="00441C5C" w:rsidRPr="000F005D">
        <w:rPr>
          <w:rFonts w:ascii="Arial" w:hAnsi="Arial" w:cs="Arial"/>
          <w:sz w:val="20"/>
          <w:szCs w:val="20"/>
        </w:rPr>
        <w:t>and are significantly less than the minimum rate of $</w:t>
      </w:r>
      <w:r w:rsidR="006354A0">
        <w:rPr>
          <w:rFonts w:ascii="Arial" w:hAnsi="Arial" w:cs="Arial"/>
          <w:sz w:val="20"/>
          <w:szCs w:val="20"/>
        </w:rPr>
        <w:t>1,</w:t>
      </w:r>
      <w:r w:rsidR="00603E83">
        <w:rPr>
          <w:rFonts w:ascii="Arial" w:hAnsi="Arial" w:cs="Arial"/>
          <w:sz w:val="20"/>
          <w:szCs w:val="20"/>
        </w:rPr>
        <w:t>750</w:t>
      </w:r>
      <w:r w:rsidR="00441C5C" w:rsidRPr="000F005D">
        <w:rPr>
          <w:rFonts w:ascii="Arial" w:hAnsi="Arial" w:cs="Arial"/>
          <w:sz w:val="20"/>
          <w:szCs w:val="20"/>
        </w:rPr>
        <w:t xml:space="preserve"> for a single bedroom residence</w:t>
      </w:r>
      <w:r w:rsidRPr="000F005D">
        <w:rPr>
          <w:rFonts w:ascii="Arial" w:hAnsi="Arial" w:cs="Arial"/>
          <w:sz w:val="20"/>
          <w:szCs w:val="20"/>
        </w:rPr>
        <w:t>.</w:t>
      </w:r>
      <w:r w:rsidR="00850A3A" w:rsidRPr="000F005D">
        <w:rPr>
          <w:rFonts w:ascii="Arial" w:hAnsi="Arial" w:cs="Arial"/>
          <w:sz w:val="20"/>
          <w:szCs w:val="20"/>
        </w:rPr>
        <w:t xml:space="preserve"> </w:t>
      </w:r>
      <w:r w:rsidR="00165BD3" w:rsidRPr="000F005D">
        <w:rPr>
          <w:rFonts w:ascii="Arial" w:hAnsi="Arial" w:cs="Arial"/>
          <w:sz w:val="20"/>
          <w:szCs w:val="20"/>
        </w:rPr>
        <w:t>Despite</w:t>
      </w:r>
      <w:r w:rsidR="00165BD3">
        <w:rPr>
          <w:rFonts w:ascii="Arial" w:hAnsi="Arial" w:cs="Arial"/>
          <w:sz w:val="20"/>
          <w:szCs w:val="20"/>
        </w:rPr>
        <w:t xml:space="preserve"> the lower rate per accommodation unit, TWA properties have the potential </w:t>
      </w:r>
      <w:r w:rsidR="003D481D">
        <w:rPr>
          <w:rFonts w:ascii="Arial" w:hAnsi="Arial" w:cs="Arial"/>
          <w:sz w:val="20"/>
          <w:szCs w:val="20"/>
        </w:rPr>
        <w:t xml:space="preserve">to </w:t>
      </w:r>
      <w:r w:rsidR="00165BD3">
        <w:rPr>
          <w:rFonts w:ascii="Arial" w:hAnsi="Arial" w:cs="Arial"/>
          <w:sz w:val="20"/>
          <w:szCs w:val="20"/>
        </w:rPr>
        <w:t>have a greater impact on Council services/assets than other properties due to their number of occupants in a relatively small land parcel</w:t>
      </w:r>
      <w:r w:rsidR="00F25B29">
        <w:rPr>
          <w:rFonts w:ascii="Arial" w:hAnsi="Arial" w:cs="Arial"/>
          <w:sz w:val="20"/>
          <w:szCs w:val="20"/>
        </w:rPr>
        <w:t xml:space="preserve"> (i.e. </w:t>
      </w:r>
      <w:bookmarkStart w:id="0" w:name="_Hlk194671832"/>
      <w:r w:rsidR="00F25B29">
        <w:rPr>
          <w:rFonts w:ascii="Arial" w:hAnsi="Arial" w:cs="Arial"/>
          <w:sz w:val="20"/>
          <w:szCs w:val="20"/>
        </w:rPr>
        <w:t>concentrated coach/vehicle movements on loc</w:t>
      </w:r>
      <w:bookmarkEnd w:id="0"/>
      <w:r w:rsidR="00F25B29">
        <w:rPr>
          <w:rFonts w:ascii="Arial" w:hAnsi="Arial" w:cs="Arial"/>
          <w:sz w:val="20"/>
          <w:szCs w:val="20"/>
        </w:rPr>
        <w:t>al roads)</w:t>
      </w:r>
      <w:r w:rsidR="00165BD3">
        <w:rPr>
          <w:rFonts w:ascii="Arial" w:hAnsi="Arial" w:cs="Arial"/>
          <w:sz w:val="20"/>
          <w:szCs w:val="20"/>
        </w:rPr>
        <w:t xml:space="preserve">. </w:t>
      </w:r>
      <w:r w:rsidR="00914638">
        <w:rPr>
          <w:rFonts w:ascii="Arial" w:hAnsi="Arial" w:cs="Arial"/>
          <w:sz w:val="20"/>
          <w:szCs w:val="20"/>
        </w:rPr>
        <w:t>To</w:t>
      </w:r>
      <w:r w:rsidR="00165BD3">
        <w:rPr>
          <w:rFonts w:ascii="Arial" w:hAnsi="Arial" w:cs="Arial"/>
          <w:sz w:val="20"/>
          <w:szCs w:val="20"/>
        </w:rPr>
        <w:t xml:space="preserve"> appropriately maintain and manage </w:t>
      </w:r>
      <w:r w:rsidR="000F527A">
        <w:rPr>
          <w:rFonts w:ascii="Arial" w:hAnsi="Arial" w:cs="Arial"/>
          <w:sz w:val="20"/>
          <w:szCs w:val="20"/>
        </w:rPr>
        <w:t>Council’s</w:t>
      </w:r>
      <w:r w:rsidR="00165BD3">
        <w:rPr>
          <w:rFonts w:ascii="Arial" w:hAnsi="Arial" w:cs="Arial"/>
          <w:sz w:val="20"/>
          <w:szCs w:val="20"/>
        </w:rPr>
        <w:t xml:space="preserve"> asset</w:t>
      </w:r>
      <w:r w:rsidR="00914638">
        <w:rPr>
          <w:rFonts w:ascii="Arial" w:hAnsi="Arial" w:cs="Arial"/>
          <w:sz w:val="20"/>
          <w:szCs w:val="20"/>
        </w:rPr>
        <w:t>s</w:t>
      </w:r>
      <w:r w:rsidR="00165BD3">
        <w:rPr>
          <w:rFonts w:ascii="Arial" w:hAnsi="Arial" w:cs="Arial"/>
          <w:sz w:val="20"/>
          <w:szCs w:val="20"/>
        </w:rPr>
        <w:t xml:space="preserve"> and infrastructure in the longer term,</w:t>
      </w:r>
      <w:r w:rsidR="009917BA">
        <w:rPr>
          <w:rFonts w:ascii="Arial" w:hAnsi="Arial" w:cs="Arial"/>
          <w:sz w:val="20"/>
          <w:szCs w:val="20"/>
        </w:rPr>
        <w:t xml:space="preserve"> </w:t>
      </w:r>
      <w:r w:rsidR="00165BD3">
        <w:rPr>
          <w:rFonts w:ascii="Arial" w:hAnsi="Arial" w:cs="Arial"/>
          <w:sz w:val="20"/>
          <w:szCs w:val="20"/>
        </w:rPr>
        <w:t>a higher differential rate is proposed for this category to reflect the greater potential and actual intensity of use of Council assets and infrastructure.</w:t>
      </w:r>
    </w:p>
    <w:p w14:paraId="6179D728" w14:textId="77777777" w:rsidR="009514DA" w:rsidRDefault="009514DA" w:rsidP="00850A3A">
      <w:pPr>
        <w:spacing w:before="240" w:after="0" w:line="240" w:lineRule="auto"/>
        <w:jc w:val="both"/>
        <w:rPr>
          <w:rFonts w:ascii="Arial" w:hAnsi="Arial" w:cs="Arial"/>
          <w:sz w:val="20"/>
          <w:szCs w:val="20"/>
        </w:rPr>
      </w:pPr>
      <w:r>
        <w:rPr>
          <w:rFonts w:ascii="Arial" w:hAnsi="Arial" w:cs="Arial"/>
          <w:sz w:val="20"/>
          <w:szCs w:val="20"/>
        </w:rPr>
        <w:t>The rate for this category supports Council’s preferred option that the operational workforce associated with resource interests be housed in normal residential properties within the town boundaries.</w:t>
      </w:r>
    </w:p>
    <w:p w14:paraId="1A3FF7B8" w14:textId="77777777" w:rsidR="00B63F93" w:rsidRDefault="00B63F93" w:rsidP="00B63F93">
      <w:pPr>
        <w:spacing w:after="0" w:line="240" w:lineRule="auto"/>
        <w:jc w:val="both"/>
        <w:rPr>
          <w:rFonts w:ascii="Arial" w:eastAsiaTheme="minorEastAsia" w:hAnsi="Arial" w:cs="Arial"/>
          <w:sz w:val="20"/>
          <w:szCs w:val="20"/>
          <w:lang w:eastAsia="en-AU"/>
        </w:rPr>
      </w:pPr>
    </w:p>
    <w:p w14:paraId="4AA3EB4B" w14:textId="49A79A5E" w:rsidR="00920D4E" w:rsidRDefault="00B63F93" w:rsidP="00752A01">
      <w:pPr>
        <w:spacing w:after="0" w:line="240" w:lineRule="auto"/>
        <w:jc w:val="both"/>
        <w:rPr>
          <w:rFonts w:ascii="Arial" w:eastAsiaTheme="minorEastAsia" w:hAnsi="Arial" w:cs="Arial"/>
          <w:sz w:val="20"/>
          <w:szCs w:val="20"/>
          <w:lang w:eastAsia="en-AU"/>
        </w:rPr>
      </w:pPr>
      <w:r w:rsidRPr="000F005D">
        <w:rPr>
          <w:rFonts w:ascii="Arial" w:eastAsiaTheme="minorEastAsia" w:hAnsi="Arial" w:cs="Arial"/>
          <w:sz w:val="20"/>
          <w:szCs w:val="20"/>
          <w:lang w:eastAsia="en-AU"/>
        </w:rPr>
        <w:t xml:space="preserve">The </w:t>
      </w:r>
      <w:r w:rsidR="00FC0BCD" w:rsidRPr="000F005D">
        <w:rPr>
          <w:rFonts w:ascii="Arial" w:eastAsiaTheme="minorEastAsia" w:hAnsi="Arial" w:cs="Arial"/>
          <w:sz w:val="20"/>
          <w:szCs w:val="20"/>
          <w:lang w:eastAsia="en-AU"/>
        </w:rPr>
        <w:t xml:space="preserve">average rate </w:t>
      </w:r>
      <w:r w:rsidR="00AF0A23">
        <w:rPr>
          <w:rFonts w:ascii="Arial" w:eastAsiaTheme="minorEastAsia" w:hAnsi="Arial" w:cs="Arial"/>
          <w:sz w:val="20"/>
          <w:szCs w:val="20"/>
          <w:lang w:eastAsia="en-AU"/>
        </w:rPr>
        <w:t xml:space="preserve">per property </w:t>
      </w:r>
      <w:r w:rsidR="008D2163" w:rsidRPr="000F005D">
        <w:rPr>
          <w:rFonts w:ascii="Arial" w:eastAsiaTheme="minorEastAsia" w:hAnsi="Arial" w:cs="Arial"/>
          <w:sz w:val="20"/>
          <w:szCs w:val="20"/>
          <w:lang w:eastAsia="en-AU"/>
        </w:rPr>
        <w:t>for TW</w:t>
      </w:r>
      <w:r w:rsidR="008D2163" w:rsidRPr="00791B36">
        <w:rPr>
          <w:rFonts w:ascii="Arial" w:eastAsiaTheme="minorEastAsia" w:hAnsi="Arial" w:cs="Arial"/>
          <w:sz w:val="20"/>
          <w:szCs w:val="20"/>
          <w:lang w:eastAsia="en-AU"/>
        </w:rPr>
        <w:t xml:space="preserve">A’s </w:t>
      </w:r>
      <w:r w:rsidR="000B010C">
        <w:rPr>
          <w:rFonts w:ascii="Arial" w:eastAsiaTheme="minorEastAsia" w:hAnsi="Arial" w:cs="Arial"/>
          <w:sz w:val="20"/>
          <w:szCs w:val="20"/>
          <w:lang w:eastAsia="en-AU"/>
        </w:rPr>
        <w:t>has decreased from 2024/25 by</w:t>
      </w:r>
      <w:r w:rsidR="00575B51" w:rsidRPr="00791B36">
        <w:rPr>
          <w:rFonts w:ascii="Arial" w:eastAsiaTheme="minorEastAsia" w:hAnsi="Arial" w:cs="Arial"/>
          <w:sz w:val="20"/>
          <w:szCs w:val="20"/>
          <w:lang w:eastAsia="en-AU"/>
        </w:rPr>
        <w:t xml:space="preserve"> </w:t>
      </w:r>
      <w:r w:rsidR="002A13D3">
        <w:rPr>
          <w:rFonts w:ascii="Arial" w:eastAsiaTheme="minorEastAsia" w:hAnsi="Arial" w:cs="Arial"/>
          <w:sz w:val="20"/>
          <w:szCs w:val="20"/>
          <w:lang w:eastAsia="en-AU"/>
        </w:rPr>
        <w:t>1</w:t>
      </w:r>
      <w:r w:rsidR="002A13D3" w:rsidRPr="002A13D3">
        <w:rPr>
          <w:rFonts w:ascii="Arial" w:eastAsiaTheme="minorEastAsia" w:hAnsi="Arial" w:cs="Arial"/>
          <w:sz w:val="20"/>
          <w:szCs w:val="20"/>
          <w:lang w:eastAsia="en-AU"/>
        </w:rPr>
        <w:t>8</w:t>
      </w:r>
      <w:r w:rsidR="00575B51" w:rsidRPr="002A13D3">
        <w:rPr>
          <w:rFonts w:ascii="Arial" w:eastAsiaTheme="minorEastAsia" w:hAnsi="Arial" w:cs="Arial"/>
          <w:sz w:val="20"/>
          <w:szCs w:val="20"/>
          <w:lang w:eastAsia="en-AU"/>
        </w:rPr>
        <w:t>%</w:t>
      </w:r>
      <w:r w:rsidR="00FC0BCD" w:rsidRPr="000F005D">
        <w:rPr>
          <w:rFonts w:ascii="Arial" w:eastAsiaTheme="minorEastAsia" w:hAnsi="Arial" w:cs="Arial"/>
          <w:sz w:val="20"/>
          <w:szCs w:val="20"/>
          <w:lang w:eastAsia="en-AU"/>
        </w:rPr>
        <w:t xml:space="preserve"> with </w:t>
      </w:r>
      <w:r w:rsidR="005F1D37" w:rsidRPr="000F005D">
        <w:rPr>
          <w:rFonts w:ascii="Arial" w:eastAsiaTheme="minorEastAsia" w:hAnsi="Arial" w:cs="Arial"/>
          <w:sz w:val="20"/>
          <w:szCs w:val="20"/>
          <w:lang w:eastAsia="en-AU"/>
        </w:rPr>
        <w:t>a</w:t>
      </w:r>
      <w:r w:rsidR="0092664E">
        <w:rPr>
          <w:rFonts w:ascii="Arial" w:eastAsiaTheme="minorEastAsia" w:hAnsi="Arial" w:cs="Arial"/>
          <w:sz w:val="20"/>
          <w:szCs w:val="20"/>
          <w:lang w:eastAsia="en-AU"/>
        </w:rPr>
        <w:t xml:space="preserve"> subsequent de</w:t>
      </w:r>
      <w:r w:rsidR="005F1D37" w:rsidRPr="000F005D">
        <w:rPr>
          <w:rFonts w:ascii="Arial" w:eastAsiaTheme="minorEastAsia" w:hAnsi="Arial" w:cs="Arial"/>
          <w:sz w:val="20"/>
          <w:szCs w:val="20"/>
          <w:lang w:eastAsia="en-AU"/>
        </w:rPr>
        <w:t xml:space="preserve">crease </w:t>
      </w:r>
      <w:r w:rsidR="005A3235">
        <w:rPr>
          <w:rFonts w:ascii="Arial" w:eastAsiaTheme="minorEastAsia" w:hAnsi="Arial" w:cs="Arial"/>
          <w:sz w:val="20"/>
          <w:szCs w:val="20"/>
          <w:lang w:eastAsia="en-AU"/>
        </w:rPr>
        <w:t>in the rate-in-the-dollar</w:t>
      </w:r>
      <w:r w:rsidR="000F005D" w:rsidRPr="000F005D">
        <w:rPr>
          <w:rFonts w:ascii="Arial" w:eastAsiaTheme="minorEastAsia" w:hAnsi="Arial" w:cs="Arial"/>
          <w:sz w:val="20"/>
          <w:szCs w:val="20"/>
          <w:lang w:eastAsia="en-AU"/>
        </w:rPr>
        <w:t xml:space="preserve"> </w:t>
      </w:r>
      <w:r w:rsidR="005A3235">
        <w:rPr>
          <w:rFonts w:ascii="Arial" w:eastAsiaTheme="minorEastAsia" w:hAnsi="Arial" w:cs="Arial"/>
          <w:sz w:val="20"/>
          <w:szCs w:val="20"/>
          <w:lang w:eastAsia="en-AU"/>
        </w:rPr>
        <w:t xml:space="preserve">for the </w:t>
      </w:r>
      <w:r w:rsidR="00C01E0B">
        <w:rPr>
          <w:rFonts w:ascii="Arial" w:eastAsiaTheme="minorEastAsia" w:hAnsi="Arial" w:cs="Arial"/>
          <w:sz w:val="20"/>
          <w:szCs w:val="20"/>
          <w:lang w:eastAsia="en-AU"/>
        </w:rPr>
        <w:t>202</w:t>
      </w:r>
      <w:r w:rsidR="00032D04">
        <w:rPr>
          <w:rFonts w:ascii="Arial" w:eastAsiaTheme="minorEastAsia" w:hAnsi="Arial" w:cs="Arial"/>
          <w:sz w:val="20"/>
          <w:szCs w:val="20"/>
          <w:lang w:eastAsia="en-AU"/>
        </w:rPr>
        <w:t>5</w:t>
      </w:r>
      <w:r w:rsidR="00C01E0B">
        <w:rPr>
          <w:rFonts w:ascii="Arial" w:eastAsiaTheme="minorEastAsia" w:hAnsi="Arial" w:cs="Arial"/>
          <w:sz w:val="20"/>
          <w:szCs w:val="20"/>
          <w:lang w:eastAsia="en-AU"/>
        </w:rPr>
        <w:t>/2</w:t>
      </w:r>
      <w:r w:rsidR="00032D04">
        <w:rPr>
          <w:rFonts w:ascii="Arial" w:eastAsiaTheme="minorEastAsia" w:hAnsi="Arial" w:cs="Arial"/>
          <w:sz w:val="20"/>
          <w:szCs w:val="20"/>
          <w:lang w:eastAsia="en-AU"/>
        </w:rPr>
        <w:t>6</w:t>
      </w:r>
      <w:r w:rsidR="008D2163" w:rsidRPr="000F005D">
        <w:rPr>
          <w:rFonts w:ascii="Arial" w:eastAsiaTheme="minorEastAsia" w:hAnsi="Arial" w:cs="Arial"/>
          <w:sz w:val="20"/>
          <w:szCs w:val="20"/>
          <w:lang w:eastAsia="en-AU"/>
        </w:rPr>
        <w:t xml:space="preserve"> financial year</w:t>
      </w:r>
      <w:r w:rsidR="0092664E">
        <w:rPr>
          <w:rFonts w:ascii="Arial" w:eastAsiaTheme="minorEastAsia" w:hAnsi="Arial" w:cs="Arial"/>
          <w:sz w:val="20"/>
          <w:szCs w:val="20"/>
          <w:lang w:eastAsia="en-AU"/>
        </w:rPr>
        <w:t xml:space="preserve"> due to the GRV valuations and the multiplier </w:t>
      </w:r>
      <w:r w:rsidR="00AF0A23">
        <w:rPr>
          <w:rFonts w:ascii="Arial" w:eastAsiaTheme="minorEastAsia" w:hAnsi="Arial" w:cs="Arial"/>
          <w:sz w:val="20"/>
          <w:szCs w:val="20"/>
          <w:lang w:eastAsia="en-AU"/>
        </w:rPr>
        <w:t>impact</w:t>
      </w:r>
      <w:r w:rsidRPr="000F005D">
        <w:rPr>
          <w:rFonts w:ascii="Arial" w:eastAsiaTheme="minorEastAsia" w:hAnsi="Arial" w:cs="Arial"/>
          <w:sz w:val="20"/>
          <w:szCs w:val="20"/>
          <w:lang w:eastAsia="en-AU"/>
        </w:rPr>
        <w:t>.</w:t>
      </w:r>
      <w:r w:rsidR="0064676F">
        <w:rPr>
          <w:rFonts w:ascii="Arial" w:eastAsiaTheme="minorEastAsia" w:hAnsi="Arial" w:cs="Arial"/>
          <w:sz w:val="20"/>
          <w:szCs w:val="20"/>
          <w:lang w:eastAsia="en-AU"/>
        </w:rPr>
        <w:t xml:space="preserve"> As this category is over 2x the lowest differential rate, the City will be required to go to the Minister for approval.</w:t>
      </w:r>
      <w:r w:rsidR="003E4A91" w:rsidRPr="000F005D">
        <w:rPr>
          <w:rFonts w:ascii="Arial" w:eastAsiaTheme="minorEastAsia" w:hAnsi="Arial" w:cs="Arial"/>
          <w:sz w:val="20"/>
          <w:szCs w:val="20"/>
          <w:lang w:eastAsia="en-AU"/>
        </w:rPr>
        <w:t xml:space="preserve"> </w:t>
      </w:r>
    </w:p>
    <w:p w14:paraId="7C9202F6" w14:textId="77777777" w:rsidR="00920D4E" w:rsidRDefault="00920D4E" w:rsidP="00752A01">
      <w:pPr>
        <w:spacing w:after="0" w:line="240" w:lineRule="auto"/>
        <w:jc w:val="both"/>
        <w:rPr>
          <w:rFonts w:ascii="Arial" w:eastAsiaTheme="minorEastAsia" w:hAnsi="Arial" w:cs="Arial"/>
          <w:sz w:val="20"/>
          <w:szCs w:val="20"/>
          <w:lang w:eastAsia="en-AU"/>
        </w:rPr>
      </w:pPr>
    </w:p>
    <w:p w14:paraId="230F0DAF" w14:textId="0D868466" w:rsidR="00752A01" w:rsidRDefault="003E4A91" w:rsidP="00752A01">
      <w:pPr>
        <w:spacing w:after="0" w:line="240" w:lineRule="auto"/>
        <w:jc w:val="both"/>
        <w:rPr>
          <w:rFonts w:ascii="Arial" w:eastAsiaTheme="minorEastAsia" w:hAnsi="Arial" w:cs="Arial"/>
          <w:sz w:val="20"/>
          <w:szCs w:val="20"/>
          <w:lang w:eastAsia="en-AU"/>
        </w:rPr>
      </w:pPr>
      <w:r w:rsidRPr="000F005D">
        <w:rPr>
          <w:rFonts w:ascii="Arial" w:eastAsiaTheme="minorEastAsia" w:hAnsi="Arial" w:cs="Arial"/>
          <w:sz w:val="20"/>
          <w:szCs w:val="20"/>
          <w:lang w:eastAsia="en-AU"/>
        </w:rPr>
        <w:t xml:space="preserve">The minimum rate of </w:t>
      </w:r>
      <w:r w:rsidRPr="0064676F">
        <w:rPr>
          <w:rFonts w:ascii="Arial" w:eastAsiaTheme="minorEastAsia" w:hAnsi="Arial" w:cs="Arial"/>
          <w:sz w:val="20"/>
          <w:szCs w:val="20"/>
          <w:lang w:eastAsia="en-AU"/>
        </w:rPr>
        <w:t>$</w:t>
      </w:r>
      <w:r w:rsidR="006354A0" w:rsidRPr="0064676F">
        <w:rPr>
          <w:rFonts w:ascii="Arial" w:eastAsiaTheme="minorEastAsia" w:hAnsi="Arial" w:cs="Arial"/>
          <w:sz w:val="20"/>
          <w:szCs w:val="20"/>
          <w:lang w:eastAsia="en-AU"/>
        </w:rPr>
        <w:t>1,</w:t>
      </w:r>
      <w:r w:rsidR="00603E83" w:rsidRPr="0064676F">
        <w:rPr>
          <w:rFonts w:ascii="Arial" w:eastAsiaTheme="minorEastAsia" w:hAnsi="Arial" w:cs="Arial"/>
          <w:sz w:val="20"/>
          <w:szCs w:val="20"/>
          <w:lang w:eastAsia="en-AU"/>
        </w:rPr>
        <w:t>750</w:t>
      </w:r>
      <w:r w:rsidRPr="000F005D">
        <w:rPr>
          <w:rFonts w:ascii="Arial" w:eastAsiaTheme="minorEastAsia" w:hAnsi="Arial" w:cs="Arial"/>
          <w:sz w:val="20"/>
          <w:szCs w:val="20"/>
          <w:lang w:eastAsia="en-AU"/>
        </w:rPr>
        <w:t xml:space="preserve"> is </w:t>
      </w:r>
      <w:r w:rsidR="00FD7515" w:rsidRPr="000F005D">
        <w:rPr>
          <w:rFonts w:ascii="Arial" w:eastAsiaTheme="minorEastAsia" w:hAnsi="Arial" w:cs="Arial"/>
          <w:sz w:val="20"/>
          <w:szCs w:val="20"/>
          <w:lang w:eastAsia="en-AU"/>
        </w:rPr>
        <w:t>t</w:t>
      </w:r>
      <w:r w:rsidRPr="000F005D">
        <w:rPr>
          <w:rFonts w:ascii="Arial" w:eastAsiaTheme="minorEastAsia" w:hAnsi="Arial" w:cs="Arial"/>
          <w:sz w:val="20"/>
          <w:szCs w:val="20"/>
          <w:lang w:eastAsia="en-AU"/>
        </w:rPr>
        <w:t>o ensure that all ratepayers make a reasonable contribution for basic services and infrastructure.</w:t>
      </w:r>
    </w:p>
    <w:p w14:paraId="138CC320" w14:textId="77777777" w:rsidR="00752A01" w:rsidRDefault="00752A01" w:rsidP="00752A01">
      <w:pPr>
        <w:spacing w:after="0" w:line="240" w:lineRule="auto"/>
        <w:jc w:val="both"/>
        <w:rPr>
          <w:rFonts w:ascii="Arial" w:eastAsiaTheme="minorEastAsia" w:hAnsi="Arial" w:cs="Arial"/>
          <w:sz w:val="20"/>
          <w:szCs w:val="20"/>
          <w:lang w:eastAsia="en-AU"/>
        </w:rPr>
      </w:pPr>
    </w:p>
    <w:p w14:paraId="1A266038" w14:textId="77777777" w:rsidR="00604354" w:rsidRPr="00604354" w:rsidRDefault="00604354" w:rsidP="00752A01">
      <w:pPr>
        <w:spacing w:after="0" w:line="240" w:lineRule="auto"/>
        <w:jc w:val="both"/>
        <w:rPr>
          <w:rFonts w:ascii="Arial" w:hAnsi="Arial" w:cs="Arial"/>
          <w:b/>
          <w:sz w:val="20"/>
          <w:szCs w:val="20"/>
        </w:rPr>
      </w:pPr>
      <w:r w:rsidRPr="00604354">
        <w:rPr>
          <w:rFonts w:ascii="Arial" w:hAnsi="Arial" w:cs="Arial"/>
          <w:b/>
          <w:sz w:val="20"/>
          <w:szCs w:val="20"/>
        </w:rPr>
        <w:t>UNIMPROVED VALUE PROPERTIES (UV)</w:t>
      </w:r>
    </w:p>
    <w:p w14:paraId="4D4603A8" w14:textId="77777777" w:rsidR="00604354" w:rsidRPr="00604354" w:rsidRDefault="00604354" w:rsidP="00604354">
      <w:pPr>
        <w:spacing w:before="120" w:after="0" w:line="240" w:lineRule="auto"/>
        <w:jc w:val="both"/>
        <w:rPr>
          <w:rFonts w:ascii="Arial" w:hAnsi="Arial" w:cs="Arial"/>
          <w:sz w:val="20"/>
          <w:szCs w:val="20"/>
        </w:rPr>
      </w:pPr>
      <w:r w:rsidRPr="00604354">
        <w:rPr>
          <w:rFonts w:ascii="Arial" w:hAnsi="Arial" w:cs="Arial"/>
          <w:sz w:val="20"/>
          <w:szCs w:val="20"/>
        </w:rPr>
        <w:t xml:space="preserve">Properties that are predominantly of a rural purpose are assigned an Unimproved Value that is supplied and updated by </w:t>
      </w:r>
      <w:r w:rsidR="007A632C">
        <w:rPr>
          <w:rFonts w:ascii="Arial" w:hAnsi="Arial" w:cs="Arial"/>
          <w:sz w:val="20"/>
          <w:szCs w:val="20"/>
        </w:rPr>
        <w:t xml:space="preserve">the </w:t>
      </w:r>
      <w:r w:rsidR="00404B97">
        <w:rPr>
          <w:rFonts w:ascii="Arial" w:hAnsi="Arial" w:cs="Arial"/>
          <w:sz w:val="20"/>
          <w:szCs w:val="20"/>
        </w:rPr>
        <w:t xml:space="preserve">Valuer </w:t>
      </w:r>
      <w:r w:rsidRPr="00604354">
        <w:rPr>
          <w:rFonts w:ascii="Arial" w:hAnsi="Arial" w:cs="Arial"/>
          <w:sz w:val="20"/>
          <w:szCs w:val="20"/>
        </w:rPr>
        <w:t xml:space="preserve">General on an annual basis. </w:t>
      </w:r>
    </w:p>
    <w:p w14:paraId="12073088" w14:textId="77777777" w:rsidR="00604354" w:rsidRPr="00604354" w:rsidRDefault="00604354" w:rsidP="00604354">
      <w:pPr>
        <w:spacing w:after="0" w:line="240" w:lineRule="auto"/>
        <w:jc w:val="both"/>
        <w:rPr>
          <w:rFonts w:ascii="Arial" w:hAnsi="Arial" w:cs="Arial"/>
          <w:sz w:val="20"/>
          <w:szCs w:val="20"/>
        </w:rPr>
      </w:pPr>
    </w:p>
    <w:p w14:paraId="38DD857B" w14:textId="75AA0FD0" w:rsidR="00850A3A" w:rsidRDefault="00604354" w:rsidP="00604354">
      <w:pPr>
        <w:spacing w:after="0" w:line="240" w:lineRule="auto"/>
        <w:jc w:val="both"/>
        <w:rPr>
          <w:rFonts w:ascii="Arial" w:hAnsi="Arial" w:cs="Arial"/>
          <w:sz w:val="20"/>
          <w:szCs w:val="20"/>
        </w:rPr>
      </w:pPr>
      <w:r w:rsidRPr="00604354">
        <w:rPr>
          <w:rFonts w:ascii="Arial" w:hAnsi="Arial" w:cs="Arial"/>
          <w:sz w:val="20"/>
          <w:szCs w:val="20"/>
        </w:rPr>
        <w:t>T</w:t>
      </w:r>
      <w:r w:rsidR="00144E1C">
        <w:rPr>
          <w:rFonts w:ascii="Arial" w:hAnsi="Arial" w:cs="Arial"/>
          <w:sz w:val="20"/>
          <w:szCs w:val="20"/>
        </w:rPr>
        <w:t xml:space="preserve">able </w:t>
      </w:r>
      <w:r w:rsidR="000B4380">
        <w:rPr>
          <w:rFonts w:ascii="Arial" w:hAnsi="Arial" w:cs="Arial"/>
          <w:sz w:val="20"/>
          <w:szCs w:val="20"/>
        </w:rPr>
        <w:t>2</w:t>
      </w:r>
      <w:r w:rsidR="00144E1C">
        <w:rPr>
          <w:rFonts w:ascii="Arial" w:hAnsi="Arial" w:cs="Arial"/>
          <w:sz w:val="20"/>
          <w:szCs w:val="20"/>
        </w:rPr>
        <w:t xml:space="preserve"> below summarises the </w:t>
      </w:r>
      <w:r w:rsidR="003D481D">
        <w:rPr>
          <w:rFonts w:ascii="Arial" w:hAnsi="Arial" w:cs="Arial"/>
          <w:sz w:val="20"/>
          <w:szCs w:val="20"/>
        </w:rPr>
        <w:t xml:space="preserve">proposed </w:t>
      </w:r>
      <w:r w:rsidR="00C01E0B">
        <w:rPr>
          <w:rFonts w:ascii="Arial" w:hAnsi="Arial" w:cs="Arial"/>
          <w:sz w:val="20"/>
          <w:szCs w:val="20"/>
        </w:rPr>
        <w:t>202</w:t>
      </w:r>
      <w:r w:rsidR="00032D04">
        <w:rPr>
          <w:rFonts w:ascii="Arial" w:hAnsi="Arial" w:cs="Arial"/>
          <w:sz w:val="20"/>
          <w:szCs w:val="20"/>
        </w:rPr>
        <w:t>5</w:t>
      </w:r>
      <w:r w:rsidR="00C01E0B">
        <w:rPr>
          <w:rFonts w:ascii="Arial" w:hAnsi="Arial" w:cs="Arial"/>
          <w:sz w:val="20"/>
          <w:szCs w:val="20"/>
        </w:rPr>
        <w:t>/2</w:t>
      </w:r>
      <w:r w:rsidR="00032D04">
        <w:rPr>
          <w:rFonts w:ascii="Arial" w:hAnsi="Arial" w:cs="Arial"/>
          <w:sz w:val="20"/>
          <w:szCs w:val="20"/>
        </w:rPr>
        <w:t>6</w:t>
      </w:r>
      <w:r w:rsidR="00FD7515">
        <w:rPr>
          <w:rFonts w:ascii="Arial" w:hAnsi="Arial" w:cs="Arial"/>
          <w:sz w:val="20"/>
          <w:szCs w:val="20"/>
        </w:rPr>
        <w:t xml:space="preserve"> </w:t>
      </w:r>
      <w:r w:rsidRPr="00604354">
        <w:rPr>
          <w:rFonts w:ascii="Arial" w:hAnsi="Arial" w:cs="Arial"/>
          <w:sz w:val="20"/>
          <w:szCs w:val="20"/>
        </w:rPr>
        <w:t>minimum payments and rates in the dollar for Unimproved Values:</w:t>
      </w:r>
    </w:p>
    <w:tbl>
      <w:tblPr>
        <w:tblStyle w:val="TableGrid"/>
        <w:tblW w:w="9170" w:type="dxa"/>
        <w:jc w:val="center"/>
        <w:tblLayout w:type="fixed"/>
        <w:tblLook w:val="04A0" w:firstRow="1" w:lastRow="0" w:firstColumn="1" w:lastColumn="0" w:noHBand="0" w:noVBand="1"/>
      </w:tblPr>
      <w:tblGrid>
        <w:gridCol w:w="3539"/>
        <w:gridCol w:w="1407"/>
        <w:gridCol w:w="1408"/>
        <w:gridCol w:w="1408"/>
        <w:gridCol w:w="1408"/>
      </w:tblGrid>
      <w:tr w:rsidR="00384EA8" w:rsidRPr="00ED69D1" w14:paraId="26D4097C" w14:textId="77777777" w:rsidTr="00DF75A5">
        <w:trPr>
          <w:jc w:val="center"/>
        </w:trPr>
        <w:tc>
          <w:tcPr>
            <w:tcW w:w="9170" w:type="dxa"/>
            <w:gridSpan w:val="5"/>
            <w:shd w:val="clear" w:color="auto" w:fill="808080" w:themeFill="background1" w:themeFillShade="80"/>
          </w:tcPr>
          <w:p w14:paraId="1FEB7429" w14:textId="336D0F2C" w:rsidR="00384EA8" w:rsidRPr="00ED69D1" w:rsidRDefault="00384EA8" w:rsidP="00DF75A5">
            <w:pPr>
              <w:spacing w:before="60" w:after="60"/>
              <w:jc w:val="center"/>
              <w:rPr>
                <w:rFonts w:ascii="Arial" w:hAnsi="Arial" w:cs="Arial"/>
                <w:b/>
                <w:sz w:val="20"/>
                <w:szCs w:val="20"/>
              </w:rPr>
            </w:pPr>
            <w:r w:rsidRPr="00ED69D1">
              <w:rPr>
                <w:rFonts w:ascii="Arial" w:hAnsi="Arial" w:cs="Arial"/>
                <w:b/>
                <w:color w:val="FFFFFF" w:themeColor="background1"/>
                <w:sz w:val="20"/>
                <w:szCs w:val="20"/>
              </w:rPr>
              <w:t xml:space="preserve">Differential Rates </w:t>
            </w:r>
            <w:r w:rsidR="00C01E0B">
              <w:rPr>
                <w:rFonts w:ascii="Arial" w:hAnsi="Arial" w:cs="Arial"/>
                <w:b/>
                <w:color w:val="FFFFFF" w:themeColor="background1"/>
                <w:sz w:val="20"/>
                <w:szCs w:val="20"/>
              </w:rPr>
              <w:t>202</w:t>
            </w:r>
            <w:r w:rsidR="00032D04">
              <w:rPr>
                <w:rFonts w:ascii="Arial" w:hAnsi="Arial" w:cs="Arial"/>
                <w:b/>
                <w:color w:val="FFFFFF" w:themeColor="background1"/>
                <w:sz w:val="20"/>
                <w:szCs w:val="20"/>
              </w:rPr>
              <w:t>5</w:t>
            </w:r>
            <w:r w:rsidR="00C01E0B">
              <w:rPr>
                <w:rFonts w:ascii="Arial" w:hAnsi="Arial" w:cs="Arial"/>
                <w:b/>
                <w:color w:val="FFFFFF" w:themeColor="background1"/>
                <w:sz w:val="20"/>
                <w:szCs w:val="20"/>
              </w:rPr>
              <w:t>/2</w:t>
            </w:r>
            <w:r w:rsidR="00032D04">
              <w:rPr>
                <w:rFonts w:ascii="Arial" w:hAnsi="Arial" w:cs="Arial"/>
                <w:b/>
                <w:color w:val="FFFFFF" w:themeColor="background1"/>
                <w:sz w:val="20"/>
                <w:szCs w:val="20"/>
              </w:rPr>
              <w:t>6</w:t>
            </w:r>
          </w:p>
        </w:tc>
      </w:tr>
      <w:tr w:rsidR="00384EA8" w:rsidRPr="00ED69D1" w14:paraId="06F93B87" w14:textId="77777777" w:rsidTr="00DF75A5">
        <w:trPr>
          <w:trHeight w:val="606"/>
          <w:jc w:val="center"/>
        </w:trPr>
        <w:tc>
          <w:tcPr>
            <w:tcW w:w="3539" w:type="dxa"/>
            <w:shd w:val="clear" w:color="auto" w:fill="F2F2F2" w:themeFill="background1" w:themeFillShade="F2"/>
            <w:vAlign w:val="center"/>
          </w:tcPr>
          <w:p w14:paraId="2F7CA38E" w14:textId="77777777" w:rsidR="00384EA8" w:rsidRPr="00F82FD7" w:rsidRDefault="00384EA8" w:rsidP="00DF75A5">
            <w:pPr>
              <w:jc w:val="center"/>
              <w:rPr>
                <w:rFonts w:ascii="Arial" w:hAnsi="Arial" w:cs="Arial"/>
                <w:b/>
                <w:sz w:val="20"/>
                <w:szCs w:val="20"/>
              </w:rPr>
            </w:pPr>
            <w:r w:rsidRPr="00F82FD7">
              <w:rPr>
                <w:sz w:val="20"/>
                <w:szCs w:val="20"/>
              </w:rPr>
              <w:br w:type="page"/>
            </w:r>
            <w:r w:rsidRPr="00F82FD7">
              <w:rPr>
                <w:rFonts w:ascii="Arial" w:hAnsi="Arial" w:cs="Arial"/>
                <w:b/>
                <w:sz w:val="20"/>
                <w:szCs w:val="20"/>
              </w:rPr>
              <w:t>Category</w:t>
            </w:r>
          </w:p>
        </w:tc>
        <w:tc>
          <w:tcPr>
            <w:tcW w:w="1407" w:type="dxa"/>
            <w:tcBorders>
              <w:bottom w:val="single" w:sz="4" w:space="0" w:color="auto"/>
            </w:tcBorders>
            <w:shd w:val="clear" w:color="auto" w:fill="F2F2F2" w:themeFill="background1" w:themeFillShade="F2"/>
            <w:vAlign w:val="center"/>
          </w:tcPr>
          <w:p w14:paraId="5B9B3954" w14:textId="77777777" w:rsidR="00384EA8" w:rsidRPr="00F82FD7" w:rsidRDefault="00384EA8" w:rsidP="00DF75A5">
            <w:pPr>
              <w:jc w:val="center"/>
              <w:rPr>
                <w:rFonts w:ascii="Arial" w:hAnsi="Arial" w:cs="Arial"/>
                <w:b/>
                <w:sz w:val="20"/>
                <w:szCs w:val="20"/>
              </w:rPr>
            </w:pPr>
            <w:r w:rsidRPr="00F82FD7">
              <w:rPr>
                <w:rFonts w:ascii="Arial" w:hAnsi="Arial" w:cs="Arial"/>
                <w:b/>
                <w:sz w:val="20"/>
                <w:szCs w:val="20"/>
              </w:rPr>
              <w:t>Proposed Minimum Payment</w:t>
            </w:r>
          </w:p>
        </w:tc>
        <w:tc>
          <w:tcPr>
            <w:tcW w:w="1408" w:type="dxa"/>
            <w:tcBorders>
              <w:bottom w:val="single" w:sz="4" w:space="0" w:color="auto"/>
            </w:tcBorders>
            <w:shd w:val="clear" w:color="auto" w:fill="F2F2F2" w:themeFill="background1" w:themeFillShade="F2"/>
            <w:vAlign w:val="center"/>
          </w:tcPr>
          <w:p w14:paraId="6CF334F0" w14:textId="77777777" w:rsidR="00384EA8" w:rsidRPr="00F82FD7" w:rsidRDefault="00384EA8" w:rsidP="00DF75A5">
            <w:pPr>
              <w:jc w:val="center"/>
              <w:rPr>
                <w:rFonts w:ascii="Arial" w:hAnsi="Arial" w:cs="Arial"/>
                <w:b/>
                <w:sz w:val="20"/>
                <w:szCs w:val="20"/>
              </w:rPr>
            </w:pPr>
            <w:r w:rsidRPr="00F82FD7">
              <w:rPr>
                <w:rFonts w:ascii="Arial" w:hAnsi="Arial" w:cs="Arial"/>
                <w:b/>
                <w:sz w:val="20"/>
                <w:szCs w:val="20"/>
              </w:rPr>
              <w:t xml:space="preserve">Proposed Rate </w:t>
            </w:r>
          </w:p>
          <w:p w14:paraId="4942CAD5" w14:textId="77777777" w:rsidR="00384EA8" w:rsidRPr="00F82FD7" w:rsidRDefault="00384EA8" w:rsidP="00DF75A5">
            <w:pPr>
              <w:jc w:val="center"/>
              <w:rPr>
                <w:rFonts w:ascii="Arial" w:hAnsi="Arial" w:cs="Arial"/>
                <w:b/>
                <w:sz w:val="20"/>
                <w:szCs w:val="20"/>
              </w:rPr>
            </w:pPr>
            <w:r w:rsidRPr="00F82FD7">
              <w:rPr>
                <w:rFonts w:ascii="Arial" w:hAnsi="Arial" w:cs="Arial"/>
                <w:b/>
                <w:sz w:val="20"/>
                <w:szCs w:val="20"/>
              </w:rPr>
              <w:t>in the Dollar</w:t>
            </w:r>
          </w:p>
        </w:tc>
        <w:tc>
          <w:tcPr>
            <w:tcW w:w="1408" w:type="dxa"/>
            <w:tcBorders>
              <w:bottom w:val="single" w:sz="4" w:space="0" w:color="auto"/>
            </w:tcBorders>
            <w:shd w:val="clear" w:color="auto" w:fill="F2F2F2" w:themeFill="background1" w:themeFillShade="F2"/>
            <w:vAlign w:val="center"/>
          </w:tcPr>
          <w:p w14:paraId="226C19BC" w14:textId="77777777" w:rsidR="00384EA8" w:rsidRPr="00F82FD7" w:rsidRDefault="00384EA8" w:rsidP="00DF75A5">
            <w:pPr>
              <w:jc w:val="center"/>
              <w:rPr>
                <w:rFonts w:ascii="Arial" w:hAnsi="Arial" w:cs="Arial"/>
                <w:b/>
                <w:sz w:val="20"/>
                <w:szCs w:val="20"/>
              </w:rPr>
            </w:pPr>
            <w:r w:rsidRPr="00F82FD7">
              <w:rPr>
                <w:rFonts w:ascii="Arial" w:hAnsi="Arial" w:cs="Arial"/>
                <w:b/>
                <w:sz w:val="20"/>
                <w:szCs w:val="20"/>
              </w:rPr>
              <w:t>Proposed Average Rate per Property</w:t>
            </w:r>
          </w:p>
        </w:tc>
        <w:tc>
          <w:tcPr>
            <w:tcW w:w="1408" w:type="dxa"/>
            <w:tcBorders>
              <w:bottom w:val="single" w:sz="4" w:space="0" w:color="auto"/>
            </w:tcBorders>
            <w:shd w:val="clear" w:color="auto" w:fill="F2F2F2" w:themeFill="background1" w:themeFillShade="F2"/>
            <w:vAlign w:val="center"/>
          </w:tcPr>
          <w:p w14:paraId="2823F84C" w14:textId="77777777" w:rsidR="00384EA8" w:rsidRPr="00F82FD7" w:rsidRDefault="00384EA8" w:rsidP="00DF75A5">
            <w:pPr>
              <w:jc w:val="center"/>
              <w:rPr>
                <w:rFonts w:ascii="Arial" w:hAnsi="Arial" w:cs="Arial"/>
                <w:b/>
                <w:sz w:val="20"/>
                <w:szCs w:val="20"/>
              </w:rPr>
            </w:pPr>
            <w:r w:rsidRPr="00F82FD7">
              <w:rPr>
                <w:rFonts w:ascii="Arial" w:hAnsi="Arial" w:cs="Arial"/>
                <w:b/>
                <w:sz w:val="20"/>
                <w:szCs w:val="20"/>
              </w:rPr>
              <w:t>Change in Average Rate</w:t>
            </w:r>
          </w:p>
        </w:tc>
      </w:tr>
      <w:tr w:rsidR="00384EA8" w:rsidRPr="00ED69D1" w14:paraId="1E4D1B09" w14:textId="77777777" w:rsidTr="00DF75A5">
        <w:trPr>
          <w:trHeight w:val="80"/>
          <w:jc w:val="center"/>
        </w:trPr>
        <w:tc>
          <w:tcPr>
            <w:tcW w:w="3539" w:type="dxa"/>
            <w:tcBorders>
              <w:top w:val="nil"/>
              <w:right w:val="single" w:sz="4" w:space="0" w:color="auto"/>
            </w:tcBorders>
            <w:vAlign w:val="bottom"/>
          </w:tcPr>
          <w:p w14:paraId="226D5B33" w14:textId="77777777" w:rsidR="00384EA8" w:rsidRPr="00F82FD7" w:rsidRDefault="00384EA8" w:rsidP="00DF75A5">
            <w:pPr>
              <w:rPr>
                <w:rFonts w:ascii="Arial" w:hAnsi="Arial" w:cs="Arial"/>
                <w:b/>
                <w:sz w:val="20"/>
                <w:szCs w:val="20"/>
              </w:rPr>
            </w:pPr>
            <w:r w:rsidRPr="00F82FD7">
              <w:rPr>
                <w:rFonts w:ascii="Arial" w:hAnsi="Arial" w:cs="Arial"/>
                <w:b/>
                <w:sz w:val="20"/>
                <w:szCs w:val="20"/>
              </w:rPr>
              <w:t>Unimproved Value</w:t>
            </w:r>
          </w:p>
        </w:tc>
        <w:tc>
          <w:tcPr>
            <w:tcW w:w="1407" w:type="dxa"/>
            <w:tcBorders>
              <w:top w:val="single" w:sz="4" w:space="0" w:color="auto"/>
              <w:left w:val="single" w:sz="4" w:space="0" w:color="auto"/>
              <w:right w:val="single" w:sz="4" w:space="0" w:color="auto"/>
            </w:tcBorders>
            <w:vAlign w:val="center"/>
          </w:tcPr>
          <w:p w14:paraId="58506CFF" w14:textId="77777777" w:rsidR="00384EA8" w:rsidRPr="00F82FD7" w:rsidRDefault="00384EA8" w:rsidP="00DF75A5">
            <w:pPr>
              <w:jc w:val="center"/>
              <w:rPr>
                <w:rFonts w:ascii="Arial" w:hAnsi="Arial" w:cs="Arial"/>
                <w:b/>
                <w:sz w:val="20"/>
                <w:szCs w:val="20"/>
              </w:rPr>
            </w:pPr>
            <w:r w:rsidRPr="00F82FD7">
              <w:rPr>
                <w:rFonts w:ascii="Arial" w:hAnsi="Arial" w:cs="Arial"/>
                <w:b/>
                <w:sz w:val="20"/>
                <w:szCs w:val="20"/>
              </w:rPr>
              <w:t>$</w:t>
            </w:r>
          </w:p>
        </w:tc>
        <w:tc>
          <w:tcPr>
            <w:tcW w:w="1408" w:type="dxa"/>
            <w:tcBorders>
              <w:top w:val="single" w:sz="4" w:space="0" w:color="auto"/>
              <w:left w:val="single" w:sz="4" w:space="0" w:color="auto"/>
              <w:right w:val="single" w:sz="4" w:space="0" w:color="auto"/>
            </w:tcBorders>
            <w:vAlign w:val="center"/>
          </w:tcPr>
          <w:p w14:paraId="207258B1" w14:textId="77777777" w:rsidR="00384EA8" w:rsidRPr="00F82FD7" w:rsidRDefault="00384EA8" w:rsidP="00DF75A5">
            <w:pPr>
              <w:jc w:val="center"/>
              <w:rPr>
                <w:rFonts w:ascii="Arial" w:hAnsi="Arial" w:cs="Arial"/>
                <w:b/>
                <w:sz w:val="20"/>
                <w:szCs w:val="20"/>
              </w:rPr>
            </w:pPr>
            <w:r w:rsidRPr="00F82FD7">
              <w:rPr>
                <w:rFonts w:ascii="Arial" w:hAnsi="Arial" w:cs="Arial"/>
                <w:b/>
                <w:sz w:val="20"/>
                <w:szCs w:val="20"/>
              </w:rPr>
              <w:t>$</w:t>
            </w:r>
          </w:p>
        </w:tc>
        <w:tc>
          <w:tcPr>
            <w:tcW w:w="1408" w:type="dxa"/>
            <w:tcBorders>
              <w:top w:val="single" w:sz="4" w:space="0" w:color="auto"/>
              <w:left w:val="single" w:sz="4" w:space="0" w:color="auto"/>
              <w:right w:val="single" w:sz="4" w:space="0" w:color="auto"/>
            </w:tcBorders>
            <w:shd w:val="clear" w:color="auto" w:fill="auto"/>
            <w:vAlign w:val="center"/>
          </w:tcPr>
          <w:p w14:paraId="5DC140E9" w14:textId="77777777" w:rsidR="00384EA8" w:rsidRPr="00F82FD7" w:rsidRDefault="00384EA8" w:rsidP="00DF75A5">
            <w:pPr>
              <w:jc w:val="center"/>
              <w:rPr>
                <w:rFonts w:ascii="Arial" w:hAnsi="Arial" w:cs="Arial"/>
                <w:b/>
                <w:sz w:val="20"/>
                <w:szCs w:val="20"/>
              </w:rPr>
            </w:pPr>
            <w:r w:rsidRPr="00F82FD7">
              <w:rPr>
                <w:rFonts w:ascii="Arial" w:hAnsi="Arial" w:cs="Arial"/>
                <w:b/>
                <w:sz w:val="20"/>
                <w:szCs w:val="20"/>
              </w:rPr>
              <w:t>$</w:t>
            </w:r>
          </w:p>
        </w:tc>
        <w:tc>
          <w:tcPr>
            <w:tcW w:w="1408" w:type="dxa"/>
            <w:tcBorders>
              <w:top w:val="single" w:sz="4" w:space="0" w:color="auto"/>
              <w:left w:val="single" w:sz="4" w:space="0" w:color="auto"/>
            </w:tcBorders>
            <w:shd w:val="clear" w:color="auto" w:fill="auto"/>
            <w:vAlign w:val="center"/>
          </w:tcPr>
          <w:p w14:paraId="59E416D7" w14:textId="77777777" w:rsidR="00384EA8" w:rsidRPr="00F82FD7" w:rsidRDefault="00384EA8" w:rsidP="00DF75A5">
            <w:pPr>
              <w:jc w:val="center"/>
              <w:rPr>
                <w:rFonts w:ascii="Arial" w:hAnsi="Arial" w:cs="Arial"/>
                <w:b/>
                <w:sz w:val="20"/>
                <w:szCs w:val="20"/>
              </w:rPr>
            </w:pPr>
            <w:r w:rsidRPr="00F82FD7">
              <w:rPr>
                <w:rFonts w:ascii="Arial" w:hAnsi="Arial" w:cs="Arial"/>
                <w:b/>
                <w:sz w:val="20"/>
                <w:szCs w:val="20"/>
              </w:rPr>
              <w:t>%</w:t>
            </w:r>
          </w:p>
        </w:tc>
      </w:tr>
      <w:tr w:rsidR="00BD74B8" w:rsidRPr="00ED69D1" w14:paraId="07074DBE" w14:textId="77777777" w:rsidTr="00DF75A5">
        <w:trPr>
          <w:jc w:val="center"/>
        </w:trPr>
        <w:tc>
          <w:tcPr>
            <w:tcW w:w="3539" w:type="dxa"/>
            <w:vAlign w:val="bottom"/>
          </w:tcPr>
          <w:p w14:paraId="0F12F573" w14:textId="77777777" w:rsidR="00BD74B8" w:rsidRPr="00F82FD7" w:rsidRDefault="00BD74B8" w:rsidP="00BD74B8">
            <w:pPr>
              <w:rPr>
                <w:rFonts w:ascii="Arial" w:hAnsi="Arial" w:cs="Arial"/>
                <w:sz w:val="20"/>
                <w:szCs w:val="20"/>
              </w:rPr>
            </w:pPr>
            <w:r w:rsidRPr="00F82FD7">
              <w:rPr>
                <w:rFonts w:ascii="Arial" w:hAnsi="Arial" w:cs="Arial"/>
                <w:sz w:val="20"/>
                <w:szCs w:val="20"/>
              </w:rPr>
              <w:t>Pastoral</w:t>
            </w:r>
          </w:p>
        </w:tc>
        <w:tc>
          <w:tcPr>
            <w:tcW w:w="1407" w:type="dxa"/>
            <w:vAlign w:val="center"/>
          </w:tcPr>
          <w:p w14:paraId="655EF3B3" w14:textId="7ECF5AA6" w:rsidR="00BD74B8" w:rsidRPr="0064676F" w:rsidRDefault="00F307D2" w:rsidP="009A0365">
            <w:pPr>
              <w:ind w:right="381"/>
              <w:jc w:val="right"/>
              <w:rPr>
                <w:rFonts w:ascii="Arial" w:hAnsi="Arial" w:cs="Arial"/>
                <w:sz w:val="20"/>
                <w:szCs w:val="20"/>
              </w:rPr>
            </w:pPr>
            <w:r w:rsidRPr="0064676F">
              <w:rPr>
                <w:rFonts w:ascii="Arial" w:hAnsi="Arial" w:cs="Arial"/>
                <w:sz w:val="20"/>
                <w:szCs w:val="20"/>
              </w:rPr>
              <w:t>3</w:t>
            </w:r>
            <w:r w:rsidR="00920D4E" w:rsidRPr="0064676F">
              <w:rPr>
                <w:rFonts w:ascii="Arial" w:hAnsi="Arial" w:cs="Arial"/>
                <w:sz w:val="20"/>
                <w:szCs w:val="20"/>
              </w:rPr>
              <w:t>67</w:t>
            </w:r>
          </w:p>
        </w:tc>
        <w:tc>
          <w:tcPr>
            <w:tcW w:w="1408" w:type="dxa"/>
            <w:vAlign w:val="center"/>
          </w:tcPr>
          <w:p w14:paraId="06B7F957" w14:textId="0BCF258F" w:rsidR="00BD74B8" w:rsidRPr="008319E1" w:rsidRDefault="00F307D2" w:rsidP="009A0365">
            <w:pPr>
              <w:ind w:right="159"/>
              <w:jc w:val="right"/>
              <w:rPr>
                <w:rFonts w:ascii="Arial" w:hAnsi="Arial" w:cs="Arial"/>
                <w:sz w:val="20"/>
                <w:szCs w:val="20"/>
              </w:rPr>
            </w:pPr>
            <w:r w:rsidRPr="008319E1">
              <w:rPr>
                <w:rFonts w:ascii="Arial" w:hAnsi="Arial" w:cs="Arial"/>
                <w:sz w:val="20"/>
                <w:szCs w:val="20"/>
              </w:rPr>
              <w:t>0.1</w:t>
            </w:r>
            <w:r w:rsidR="0064676F" w:rsidRPr="008319E1">
              <w:rPr>
                <w:rFonts w:ascii="Arial" w:hAnsi="Arial" w:cs="Arial"/>
                <w:sz w:val="20"/>
                <w:szCs w:val="20"/>
              </w:rPr>
              <w:t>30035</w:t>
            </w:r>
          </w:p>
        </w:tc>
        <w:tc>
          <w:tcPr>
            <w:tcW w:w="1408" w:type="dxa"/>
            <w:shd w:val="clear" w:color="auto" w:fill="auto"/>
            <w:vAlign w:val="center"/>
          </w:tcPr>
          <w:p w14:paraId="5AE533E1" w14:textId="469C4D8F" w:rsidR="00BD74B8" w:rsidRPr="00032D04" w:rsidRDefault="00F307D2" w:rsidP="009A0365">
            <w:pPr>
              <w:ind w:right="152"/>
              <w:jc w:val="right"/>
              <w:rPr>
                <w:rFonts w:ascii="Arial" w:hAnsi="Arial" w:cs="Arial"/>
                <w:bCs/>
                <w:color w:val="000000"/>
                <w:sz w:val="20"/>
                <w:szCs w:val="20"/>
                <w:highlight w:val="yellow"/>
              </w:rPr>
            </w:pPr>
            <w:r w:rsidRPr="007B6B16">
              <w:rPr>
                <w:rFonts w:ascii="Arial" w:hAnsi="Arial" w:cs="Arial"/>
                <w:bCs/>
                <w:color w:val="000000"/>
                <w:sz w:val="20"/>
                <w:szCs w:val="20"/>
              </w:rPr>
              <w:t>2</w:t>
            </w:r>
            <w:r w:rsidR="00505774" w:rsidRPr="007B6B16">
              <w:rPr>
                <w:rFonts w:ascii="Arial" w:hAnsi="Arial" w:cs="Arial"/>
                <w:bCs/>
                <w:color w:val="000000"/>
                <w:sz w:val="20"/>
                <w:szCs w:val="20"/>
              </w:rPr>
              <w:t>3</w:t>
            </w:r>
            <w:r w:rsidRPr="007B6B16">
              <w:rPr>
                <w:rFonts w:ascii="Arial" w:hAnsi="Arial" w:cs="Arial"/>
                <w:bCs/>
                <w:color w:val="000000"/>
                <w:sz w:val="20"/>
                <w:szCs w:val="20"/>
              </w:rPr>
              <w:t>,</w:t>
            </w:r>
            <w:r w:rsidR="00505774" w:rsidRPr="007B6B16">
              <w:rPr>
                <w:rFonts w:ascii="Arial" w:hAnsi="Arial" w:cs="Arial"/>
                <w:bCs/>
                <w:color w:val="000000"/>
                <w:sz w:val="20"/>
                <w:szCs w:val="20"/>
              </w:rPr>
              <w:t>3</w:t>
            </w:r>
            <w:r w:rsidR="007B6B16" w:rsidRPr="007B6B16">
              <w:rPr>
                <w:rFonts w:ascii="Arial" w:hAnsi="Arial" w:cs="Arial"/>
                <w:bCs/>
                <w:color w:val="000000"/>
                <w:sz w:val="20"/>
                <w:szCs w:val="20"/>
              </w:rPr>
              <w:t>81</w:t>
            </w:r>
          </w:p>
        </w:tc>
        <w:tc>
          <w:tcPr>
            <w:tcW w:w="1408" w:type="dxa"/>
            <w:shd w:val="clear" w:color="auto" w:fill="auto"/>
            <w:vAlign w:val="center"/>
          </w:tcPr>
          <w:p w14:paraId="26041E33" w14:textId="20790ED9" w:rsidR="00BD74B8" w:rsidRPr="00D156C0" w:rsidRDefault="008C3F94" w:rsidP="00BD74B8">
            <w:pPr>
              <w:jc w:val="center"/>
              <w:rPr>
                <w:rFonts w:ascii="Arial" w:hAnsi="Arial" w:cs="Arial"/>
                <w:sz w:val="20"/>
                <w:szCs w:val="20"/>
              </w:rPr>
            </w:pPr>
            <w:r>
              <w:rPr>
                <w:rFonts w:ascii="Arial" w:hAnsi="Arial" w:cs="Arial"/>
                <w:sz w:val="20"/>
                <w:szCs w:val="20"/>
              </w:rPr>
              <w:t>0.0</w:t>
            </w:r>
          </w:p>
        </w:tc>
      </w:tr>
      <w:tr w:rsidR="009B134A" w:rsidRPr="00ED69D1" w14:paraId="14033A6F" w14:textId="77777777" w:rsidTr="005044DB">
        <w:trPr>
          <w:jc w:val="center"/>
        </w:trPr>
        <w:tc>
          <w:tcPr>
            <w:tcW w:w="3539" w:type="dxa"/>
            <w:vAlign w:val="bottom"/>
          </w:tcPr>
          <w:p w14:paraId="3E3E22E1" w14:textId="77777777" w:rsidR="009B134A" w:rsidRPr="00F82FD7" w:rsidRDefault="009B134A" w:rsidP="009B134A">
            <w:pPr>
              <w:rPr>
                <w:rFonts w:ascii="Arial" w:hAnsi="Arial" w:cs="Arial"/>
                <w:color w:val="000000"/>
                <w:sz w:val="20"/>
                <w:szCs w:val="20"/>
              </w:rPr>
            </w:pPr>
            <w:r w:rsidRPr="00F82FD7">
              <w:rPr>
                <w:rFonts w:ascii="Arial" w:hAnsi="Arial" w:cs="Arial"/>
                <w:color w:val="000000"/>
                <w:sz w:val="20"/>
                <w:szCs w:val="20"/>
              </w:rPr>
              <w:t>Mining/Other</w:t>
            </w:r>
          </w:p>
        </w:tc>
        <w:tc>
          <w:tcPr>
            <w:tcW w:w="1407" w:type="dxa"/>
            <w:vAlign w:val="center"/>
          </w:tcPr>
          <w:p w14:paraId="70CCD5B2" w14:textId="5323FE9C" w:rsidR="009B134A" w:rsidRPr="0064676F" w:rsidRDefault="00F307D2" w:rsidP="009B134A">
            <w:pPr>
              <w:ind w:right="381"/>
              <w:jc w:val="right"/>
              <w:rPr>
                <w:sz w:val="20"/>
                <w:szCs w:val="20"/>
              </w:rPr>
            </w:pPr>
            <w:r w:rsidRPr="0064676F">
              <w:rPr>
                <w:rFonts w:ascii="Arial" w:hAnsi="Arial" w:cs="Arial"/>
                <w:sz w:val="20"/>
                <w:szCs w:val="20"/>
              </w:rPr>
              <w:t>3</w:t>
            </w:r>
            <w:r w:rsidR="00920D4E" w:rsidRPr="0064676F">
              <w:rPr>
                <w:rFonts w:ascii="Arial" w:hAnsi="Arial" w:cs="Arial"/>
                <w:sz w:val="20"/>
                <w:szCs w:val="20"/>
              </w:rPr>
              <w:t>67</w:t>
            </w:r>
          </w:p>
        </w:tc>
        <w:tc>
          <w:tcPr>
            <w:tcW w:w="1408" w:type="dxa"/>
            <w:vAlign w:val="center"/>
          </w:tcPr>
          <w:p w14:paraId="7D2F0432" w14:textId="146F5DC3" w:rsidR="009B134A" w:rsidRPr="008319E1" w:rsidRDefault="00F307D2" w:rsidP="009B134A">
            <w:pPr>
              <w:ind w:right="159"/>
              <w:jc w:val="right"/>
              <w:rPr>
                <w:rFonts w:ascii="Arial" w:hAnsi="Arial" w:cs="Arial"/>
                <w:sz w:val="20"/>
                <w:szCs w:val="20"/>
              </w:rPr>
            </w:pPr>
            <w:r w:rsidRPr="008319E1">
              <w:rPr>
                <w:rFonts w:ascii="Arial" w:hAnsi="Arial" w:cs="Arial"/>
                <w:sz w:val="20"/>
                <w:szCs w:val="20"/>
              </w:rPr>
              <w:t>0.1</w:t>
            </w:r>
            <w:r w:rsidR="008319E1" w:rsidRPr="008319E1">
              <w:rPr>
                <w:rFonts w:ascii="Arial" w:hAnsi="Arial" w:cs="Arial"/>
                <w:sz w:val="20"/>
                <w:szCs w:val="20"/>
              </w:rPr>
              <w:t>45248</w:t>
            </w:r>
          </w:p>
        </w:tc>
        <w:tc>
          <w:tcPr>
            <w:tcW w:w="1408" w:type="dxa"/>
            <w:shd w:val="clear" w:color="auto" w:fill="auto"/>
            <w:vAlign w:val="center"/>
          </w:tcPr>
          <w:p w14:paraId="0FC10028" w14:textId="1BA572F9" w:rsidR="009B134A" w:rsidRPr="00032D04" w:rsidRDefault="00D156C0" w:rsidP="009B134A">
            <w:pPr>
              <w:ind w:right="152"/>
              <w:jc w:val="right"/>
              <w:rPr>
                <w:rFonts w:ascii="Arial" w:hAnsi="Arial" w:cs="Arial"/>
                <w:bCs/>
                <w:color w:val="000000"/>
                <w:sz w:val="20"/>
                <w:szCs w:val="20"/>
                <w:highlight w:val="yellow"/>
              </w:rPr>
            </w:pPr>
            <w:r w:rsidRPr="00D156C0">
              <w:rPr>
                <w:rFonts w:ascii="Arial" w:hAnsi="Arial" w:cs="Arial"/>
                <w:bCs/>
                <w:color w:val="000000"/>
                <w:sz w:val="20"/>
                <w:szCs w:val="20"/>
              </w:rPr>
              <w:t>3,872</w:t>
            </w:r>
          </w:p>
        </w:tc>
        <w:tc>
          <w:tcPr>
            <w:tcW w:w="1408" w:type="dxa"/>
            <w:shd w:val="clear" w:color="auto" w:fill="auto"/>
          </w:tcPr>
          <w:p w14:paraId="7A2FBA19" w14:textId="5FC405C8" w:rsidR="009B134A" w:rsidRPr="00D156C0" w:rsidRDefault="008C3F94" w:rsidP="009B134A">
            <w:pPr>
              <w:jc w:val="center"/>
              <w:rPr>
                <w:rFonts w:ascii="Arial" w:hAnsi="Arial" w:cs="Arial"/>
                <w:sz w:val="20"/>
                <w:szCs w:val="20"/>
              </w:rPr>
            </w:pPr>
            <w:r>
              <w:rPr>
                <w:rFonts w:ascii="Arial" w:hAnsi="Arial" w:cs="Arial"/>
                <w:sz w:val="20"/>
                <w:szCs w:val="20"/>
              </w:rPr>
              <w:t>-2.</w:t>
            </w:r>
            <w:r w:rsidR="00581845" w:rsidRPr="00D156C0">
              <w:rPr>
                <w:rFonts w:ascii="Arial" w:hAnsi="Arial" w:cs="Arial"/>
                <w:sz w:val="20"/>
                <w:szCs w:val="20"/>
              </w:rPr>
              <w:t>3</w:t>
            </w:r>
          </w:p>
        </w:tc>
      </w:tr>
      <w:tr w:rsidR="009B134A" w:rsidRPr="00ED69D1" w14:paraId="2631DF14" w14:textId="77777777" w:rsidTr="005044DB">
        <w:trPr>
          <w:jc w:val="center"/>
        </w:trPr>
        <w:tc>
          <w:tcPr>
            <w:tcW w:w="3539" w:type="dxa"/>
            <w:vAlign w:val="bottom"/>
          </w:tcPr>
          <w:p w14:paraId="5AE576C9" w14:textId="2365BD7F" w:rsidR="009B134A" w:rsidRPr="00F82FD7" w:rsidRDefault="009B134A" w:rsidP="009B134A">
            <w:pPr>
              <w:rPr>
                <w:rFonts w:ascii="Arial" w:hAnsi="Arial" w:cs="Arial"/>
                <w:color w:val="000000"/>
                <w:sz w:val="20"/>
                <w:szCs w:val="20"/>
              </w:rPr>
            </w:pPr>
            <w:r w:rsidRPr="00F82FD7">
              <w:rPr>
                <w:rFonts w:ascii="Arial" w:hAnsi="Arial" w:cs="Arial"/>
                <w:color w:val="000000"/>
                <w:sz w:val="20"/>
                <w:szCs w:val="20"/>
              </w:rPr>
              <w:t>Strategic Industry (UV)</w:t>
            </w:r>
            <w:r w:rsidR="006E362D">
              <w:rPr>
                <w:rFonts w:ascii="Arial" w:hAnsi="Arial" w:cs="Arial"/>
                <w:color w:val="000000"/>
                <w:sz w:val="20"/>
                <w:szCs w:val="20"/>
              </w:rPr>
              <w:t>*</w:t>
            </w:r>
          </w:p>
        </w:tc>
        <w:tc>
          <w:tcPr>
            <w:tcW w:w="1407" w:type="dxa"/>
            <w:vAlign w:val="center"/>
          </w:tcPr>
          <w:p w14:paraId="300ADB48" w14:textId="05402B4A" w:rsidR="009B134A" w:rsidRPr="0064676F" w:rsidRDefault="00F307D2" w:rsidP="009B134A">
            <w:pPr>
              <w:ind w:right="381"/>
              <w:jc w:val="right"/>
              <w:rPr>
                <w:sz w:val="20"/>
                <w:szCs w:val="20"/>
              </w:rPr>
            </w:pPr>
            <w:r w:rsidRPr="0064676F">
              <w:rPr>
                <w:rFonts w:ascii="Arial" w:hAnsi="Arial" w:cs="Arial"/>
                <w:sz w:val="20"/>
                <w:szCs w:val="20"/>
              </w:rPr>
              <w:t>3</w:t>
            </w:r>
            <w:r w:rsidR="00920D4E" w:rsidRPr="0064676F">
              <w:rPr>
                <w:rFonts w:ascii="Arial" w:hAnsi="Arial" w:cs="Arial"/>
                <w:sz w:val="20"/>
                <w:szCs w:val="20"/>
              </w:rPr>
              <w:t>67</w:t>
            </w:r>
          </w:p>
        </w:tc>
        <w:tc>
          <w:tcPr>
            <w:tcW w:w="1408" w:type="dxa"/>
            <w:vAlign w:val="center"/>
          </w:tcPr>
          <w:p w14:paraId="2B8B1FF7" w14:textId="190E7B82" w:rsidR="009B134A" w:rsidRPr="008319E1" w:rsidRDefault="00F307D2" w:rsidP="009B134A">
            <w:pPr>
              <w:ind w:right="159"/>
              <w:jc w:val="right"/>
              <w:rPr>
                <w:rFonts w:ascii="Arial" w:hAnsi="Arial" w:cs="Arial"/>
                <w:sz w:val="20"/>
                <w:szCs w:val="20"/>
              </w:rPr>
            </w:pPr>
            <w:r w:rsidRPr="008319E1">
              <w:rPr>
                <w:rFonts w:ascii="Arial" w:hAnsi="Arial" w:cs="Arial"/>
                <w:sz w:val="20"/>
                <w:szCs w:val="20"/>
              </w:rPr>
              <w:t>0.2</w:t>
            </w:r>
            <w:r w:rsidR="008319E1" w:rsidRPr="008319E1">
              <w:rPr>
                <w:rFonts w:ascii="Arial" w:hAnsi="Arial" w:cs="Arial"/>
                <w:sz w:val="20"/>
                <w:szCs w:val="20"/>
              </w:rPr>
              <w:t>19248</w:t>
            </w:r>
          </w:p>
        </w:tc>
        <w:tc>
          <w:tcPr>
            <w:tcW w:w="1408" w:type="dxa"/>
            <w:shd w:val="clear" w:color="auto" w:fill="auto"/>
            <w:vAlign w:val="center"/>
          </w:tcPr>
          <w:p w14:paraId="13561329" w14:textId="2EBA35C5" w:rsidR="009B134A" w:rsidRPr="00032D04" w:rsidRDefault="00D156C0" w:rsidP="009B134A">
            <w:pPr>
              <w:ind w:right="152"/>
              <w:jc w:val="right"/>
              <w:rPr>
                <w:rFonts w:ascii="Arial" w:hAnsi="Arial" w:cs="Arial"/>
                <w:bCs/>
                <w:color w:val="000000"/>
                <w:sz w:val="20"/>
                <w:szCs w:val="20"/>
                <w:highlight w:val="yellow"/>
              </w:rPr>
            </w:pPr>
            <w:r w:rsidRPr="00D156C0">
              <w:rPr>
                <w:rFonts w:ascii="Arial" w:hAnsi="Arial" w:cs="Arial"/>
                <w:bCs/>
                <w:color w:val="000000"/>
                <w:sz w:val="20"/>
                <w:szCs w:val="20"/>
              </w:rPr>
              <w:t>506,998</w:t>
            </w:r>
          </w:p>
        </w:tc>
        <w:tc>
          <w:tcPr>
            <w:tcW w:w="1408" w:type="dxa"/>
            <w:shd w:val="clear" w:color="auto" w:fill="auto"/>
          </w:tcPr>
          <w:p w14:paraId="6829C9DC" w14:textId="1684A0E2" w:rsidR="009B134A" w:rsidRPr="00D156C0" w:rsidRDefault="008C3F94" w:rsidP="009B134A">
            <w:pPr>
              <w:jc w:val="center"/>
              <w:rPr>
                <w:rFonts w:ascii="Arial" w:hAnsi="Arial" w:cs="Arial"/>
                <w:sz w:val="20"/>
                <w:szCs w:val="20"/>
              </w:rPr>
            </w:pPr>
            <w:r>
              <w:rPr>
                <w:rFonts w:ascii="Arial" w:hAnsi="Arial" w:cs="Arial"/>
                <w:sz w:val="20"/>
                <w:szCs w:val="20"/>
              </w:rPr>
              <w:t>65.0</w:t>
            </w:r>
          </w:p>
        </w:tc>
      </w:tr>
    </w:tbl>
    <w:p w14:paraId="6247DA28" w14:textId="1424318D" w:rsidR="00256327" w:rsidRDefault="0064676F" w:rsidP="0064676F">
      <w:pPr>
        <w:spacing w:after="0" w:line="240" w:lineRule="auto"/>
        <w:rPr>
          <w:rFonts w:ascii="Arial" w:hAnsi="Arial" w:cs="Arial"/>
          <w:bCs/>
          <w:i/>
          <w:iCs/>
          <w:sz w:val="20"/>
          <w:szCs w:val="20"/>
        </w:rPr>
      </w:pPr>
      <w:r w:rsidRPr="0064676F">
        <w:rPr>
          <w:rFonts w:ascii="Arial" w:hAnsi="Arial" w:cs="Arial"/>
          <w:bCs/>
          <w:i/>
          <w:iCs/>
          <w:sz w:val="20"/>
          <w:szCs w:val="20"/>
        </w:rPr>
        <w:t>Table 2: Proposed differential rates for 2025/26 financial year (UV)</w:t>
      </w:r>
      <w:r>
        <w:rPr>
          <w:rFonts w:ascii="Arial" w:hAnsi="Arial" w:cs="Arial"/>
          <w:bCs/>
          <w:i/>
          <w:iCs/>
          <w:sz w:val="20"/>
          <w:szCs w:val="20"/>
        </w:rPr>
        <w:t xml:space="preserve"> i</w:t>
      </w:r>
      <w:r w:rsidRPr="0064676F">
        <w:rPr>
          <w:rFonts w:ascii="Arial" w:hAnsi="Arial" w:cs="Arial"/>
          <w:bCs/>
          <w:i/>
          <w:iCs/>
          <w:sz w:val="20"/>
          <w:szCs w:val="20"/>
        </w:rPr>
        <w:t xml:space="preserve">ncluding average rate per </w:t>
      </w:r>
      <w:r w:rsidR="006E6D7D" w:rsidRPr="0064676F">
        <w:rPr>
          <w:rFonts w:ascii="Arial" w:hAnsi="Arial" w:cs="Arial"/>
          <w:bCs/>
          <w:i/>
          <w:iCs/>
          <w:sz w:val="20"/>
          <w:szCs w:val="20"/>
        </w:rPr>
        <w:t>assessment.</w:t>
      </w:r>
    </w:p>
    <w:p w14:paraId="568D3458" w14:textId="77777777" w:rsidR="0036471E" w:rsidRDefault="0036471E" w:rsidP="00850A3A">
      <w:pPr>
        <w:spacing w:after="0" w:line="240" w:lineRule="auto"/>
        <w:jc w:val="both"/>
        <w:rPr>
          <w:rFonts w:ascii="Arial" w:hAnsi="Arial" w:cs="Arial"/>
          <w:b/>
          <w:sz w:val="20"/>
          <w:szCs w:val="20"/>
        </w:rPr>
      </w:pPr>
    </w:p>
    <w:p w14:paraId="79890CD7" w14:textId="091A71D2" w:rsidR="00604354" w:rsidRPr="00ED69D1" w:rsidRDefault="00604354" w:rsidP="00850A3A">
      <w:pPr>
        <w:spacing w:after="0" w:line="240" w:lineRule="auto"/>
        <w:jc w:val="both"/>
        <w:rPr>
          <w:rFonts w:ascii="Arial" w:hAnsi="Arial" w:cs="Arial"/>
          <w:sz w:val="20"/>
          <w:szCs w:val="20"/>
        </w:rPr>
      </w:pPr>
      <w:r w:rsidRPr="00ED69D1">
        <w:rPr>
          <w:rFonts w:ascii="Arial" w:hAnsi="Arial" w:cs="Arial"/>
          <w:b/>
          <w:sz w:val="20"/>
          <w:szCs w:val="20"/>
        </w:rPr>
        <w:t>Pastoral</w:t>
      </w:r>
      <w:r w:rsidR="00850A3A" w:rsidRPr="00ED69D1">
        <w:rPr>
          <w:rFonts w:ascii="Arial" w:hAnsi="Arial" w:cs="Arial"/>
          <w:b/>
          <w:sz w:val="20"/>
          <w:szCs w:val="20"/>
        </w:rPr>
        <w:t xml:space="preserve"> </w:t>
      </w:r>
      <w:r w:rsidRPr="00ED69D1">
        <w:rPr>
          <w:rFonts w:ascii="Arial" w:hAnsi="Arial" w:cs="Arial"/>
          <w:sz w:val="20"/>
          <w:szCs w:val="20"/>
        </w:rPr>
        <w:t>– means any land:</w:t>
      </w:r>
    </w:p>
    <w:p w14:paraId="19BE8BEB" w14:textId="26A9B929" w:rsidR="00604354" w:rsidRPr="00ED69D1" w:rsidRDefault="00604354" w:rsidP="00004C94">
      <w:pPr>
        <w:pStyle w:val="ListParagraph"/>
        <w:numPr>
          <w:ilvl w:val="0"/>
          <w:numId w:val="5"/>
        </w:numPr>
        <w:jc w:val="both"/>
        <w:rPr>
          <w:rFonts w:cs="Arial"/>
          <w:noProof/>
          <w:szCs w:val="20"/>
        </w:rPr>
      </w:pPr>
      <w:r w:rsidRPr="00ED69D1">
        <w:rPr>
          <w:rFonts w:cs="Arial"/>
          <w:szCs w:val="20"/>
        </w:rPr>
        <w:t xml:space="preserve">that currently has a pastoral lease </w:t>
      </w:r>
      <w:r w:rsidR="00E15163" w:rsidRPr="00ED69D1">
        <w:rPr>
          <w:rFonts w:cs="Arial"/>
          <w:szCs w:val="20"/>
        </w:rPr>
        <w:t>granted.</w:t>
      </w:r>
      <w:r w:rsidRPr="00ED69D1">
        <w:rPr>
          <w:rFonts w:cs="Arial"/>
          <w:szCs w:val="20"/>
        </w:rPr>
        <w:t xml:space="preserve"> </w:t>
      </w:r>
    </w:p>
    <w:p w14:paraId="3E0A7AEE" w14:textId="77777777" w:rsidR="00604354" w:rsidRPr="00ED69D1" w:rsidRDefault="00604354" w:rsidP="00305727">
      <w:pPr>
        <w:pStyle w:val="NoSpacing"/>
        <w:spacing w:before="40" w:after="40"/>
        <w:ind w:firstLine="720"/>
        <w:rPr>
          <w:rFonts w:ascii="Arial" w:hAnsi="Arial" w:cs="Arial"/>
          <w:b/>
          <w:sz w:val="20"/>
          <w:szCs w:val="20"/>
        </w:rPr>
      </w:pPr>
      <w:r w:rsidRPr="00ED69D1">
        <w:rPr>
          <w:rFonts w:ascii="Arial" w:hAnsi="Arial" w:cs="Arial"/>
          <w:b/>
          <w:sz w:val="20"/>
          <w:szCs w:val="20"/>
        </w:rPr>
        <w:t>and</w:t>
      </w:r>
    </w:p>
    <w:p w14:paraId="331ADE05" w14:textId="77777777" w:rsidR="00604354" w:rsidRPr="00ED69D1" w:rsidRDefault="00604354" w:rsidP="00850A3A">
      <w:pPr>
        <w:pStyle w:val="ListParagraph"/>
        <w:numPr>
          <w:ilvl w:val="0"/>
          <w:numId w:val="5"/>
        </w:numPr>
        <w:jc w:val="both"/>
        <w:rPr>
          <w:rFonts w:cs="Arial"/>
          <w:noProof/>
          <w:szCs w:val="20"/>
        </w:rPr>
      </w:pPr>
      <w:r w:rsidRPr="00ED69D1">
        <w:rPr>
          <w:rFonts w:cs="Arial"/>
          <w:noProof/>
          <w:szCs w:val="20"/>
        </w:rPr>
        <w:t xml:space="preserve">that is used predominantly for the purpose of grazing (including agistment), dairying, pig-farming, poultry farming, fish farming, tree farming, bee-keeping, viticulture, horticulture, fruit growing or the growing of crops of any kind or for any </w:t>
      </w:r>
      <w:r w:rsidR="00146048" w:rsidRPr="00ED69D1">
        <w:rPr>
          <w:rFonts w:cs="Arial"/>
          <w:noProof/>
          <w:szCs w:val="20"/>
        </w:rPr>
        <w:t>combination of these activities.</w:t>
      </w:r>
    </w:p>
    <w:p w14:paraId="7B15ECC5" w14:textId="77777777" w:rsidR="00D156C0" w:rsidRDefault="00D156C0" w:rsidP="006C1301">
      <w:pPr>
        <w:spacing w:after="0" w:line="240" w:lineRule="auto"/>
        <w:jc w:val="both"/>
        <w:rPr>
          <w:rFonts w:ascii="Arial" w:eastAsiaTheme="minorEastAsia" w:hAnsi="Arial" w:cs="Arial"/>
          <w:sz w:val="20"/>
          <w:szCs w:val="20"/>
          <w:lang w:eastAsia="en-AU"/>
        </w:rPr>
      </w:pPr>
    </w:p>
    <w:p w14:paraId="08E54313" w14:textId="2552F88D" w:rsidR="00C418AB" w:rsidRDefault="00B0765D" w:rsidP="006C1301">
      <w:pPr>
        <w:spacing w:after="0" w:line="240" w:lineRule="auto"/>
        <w:jc w:val="both"/>
        <w:rPr>
          <w:rFonts w:ascii="Arial" w:eastAsiaTheme="minorEastAsia" w:hAnsi="Arial" w:cs="Arial"/>
          <w:sz w:val="20"/>
          <w:szCs w:val="20"/>
          <w:lang w:eastAsia="en-AU"/>
        </w:rPr>
      </w:pPr>
      <w:r w:rsidRPr="00ED69D1">
        <w:rPr>
          <w:rFonts w:ascii="Arial" w:eastAsiaTheme="minorEastAsia" w:hAnsi="Arial" w:cs="Arial"/>
          <w:sz w:val="20"/>
          <w:szCs w:val="20"/>
          <w:lang w:eastAsia="en-AU"/>
        </w:rPr>
        <w:t xml:space="preserve">This rating category reflects the level of rating required to raise the necessary revenue to operate efficiently and provide for rural infrastructure and services in addition to the urban services, programs and infrastructure </w:t>
      </w:r>
      <w:r w:rsidR="009917BA" w:rsidRPr="00ED69D1">
        <w:rPr>
          <w:rFonts w:ascii="Arial" w:eastAsiaTheme="minorEastAsia" w:hAnsi="Arial" w:cs="Arial"/>
          <w:sz w:val="20"/>
          <w:szCs w:val="20"/>
          <w:lang w:eastAsia="en-AU"/>
        </w:rPr>
        <w:t xml:space="preserve">which are available to be </w:t>
      </w:r>
      <w:r w:rsidRPr="00ED69D1">
        <w:rPr>
          <w:rFonts w:ascii="Arial" w:eastAsiaTheme="minorEastAsia" w:hAnsi="Arial" w:cs="Arial"/>
          <w:sz w:val="20"/>
          <w:szCs w:val="20"/>
          <w:lang w:eastAsia="en-AU"/>
        </w:rPr>
        <w:t>accessed by the properties in this category.</w:t>
      </w:r>
    </w:p>
    <w:p w14:paraId="2E1EFC14" w14:textId="77777777" w:rsidR="000B4380" w:rsidRPr="00ED69D1" w:rsidRDefault="000B4380" w:rsidP="006C1301">
      <w:pPr>
        <w:spacing w:after="0" w:line="240" w:lineRule="auto"/>
        <w:jc w:val="both"/>
        <w:rPr>
          <w:rFonts w:ascii="Arial" w:eastAsiaTheme="minorEastAsia" w:hAnsi="Arial" w:cs="Arial"/>
          <w:sz w:val="20"/>
          <w:szCs w:val="20"/>
          <w:lang w:eastAsia="en-AU"/>
        </w:rPr>
      </w:pPr>
    </w:p>
    <w:p w14:paraId="5E4AD7FD" w14:textId="5BD78C4F" w:rsidR="00102F27" w:rsidRPr="00ED69D1" w:rsidRDefault="00102F27" w:rsidP="006C1301">
      <w:pPr>
        <w:spacing w:after="0" w:line="240" w:lineRule="auto"/>
        <w:jc w:val="both"/>
        <w:rPr>
          <w:rFonts w:ascii="Arial" w:eastAsiaTheme="minorEastAsia" w:hAnsi="Arial" w:cs="Arial"/>
          <w:sz w:val="20"/>
          <w:szCs w:val="20"/>
          <w:lang w:eastAsia="en-AU"/>
        </w:rPr>
      </w:pPr>
      <w:r w:rsidRPr="00173EAC">
        <w:rPr>
          <w:rFonts w:ascii="Arial" w:hAnsi="Arial" w:cs="Arial"/>
          <w:sz w:val="20"/>
          <w:szCs w:val="20"/>
        </w:rPr>
        <w:t xml:space="preserve">The reason for a lower rate applied to the </w:t>
      </w:r>
      <w:r w:rsidR="00173EAC" w:rsidRPr="00173EAC">
        <w:rPr>
          <w:rFonts w:ascii="Arial" w:hAnsi="Arial" w:cs="Arial"/>
          <w:sz w:val="20"/>
          <w:szCs w:val="20"/>
        </w:rPr>
        <w:t>Pastoral</w:t>
      </w:r>
      <w:r w:rsidRPr="00173EAC">
        <w:rPr>
          <w:rFonts w:ascii="Arial" w:hAnsi="Arial" w:cs="Arial"/>
          <w:sz w:val="20"/>
          <w:szCs w:val="20"/>
        </w:rPr>
        <w:t xml:space="preserve"> category, as compared to UV Mining/Industrial, is to reflect the lower level of impact these activities have on general infrastructure and facilities including road infrastructure, recreation facilities and the permanent nature of the business activity relevant to mining and related </w:t>
      </w:r>
      <w:r w:rsidR="006E6D7D" w:rsidRPr="00173EAC">
        <w:rPr>
          <w:rFonts w:ascii="Arial" w:hAnsi="Arial" w:cs="Arial"/>
          <w:sz w:val="20"/>
          <w:szCs w:val="20"/>
        </w:rPr>
        <w:t>industry.</w:t>
      </w:r>
    </w:p>
    <w:p w14:paraId="784CE591" w14:textId="77777777" w:rsidR="00C418AB" w:rsidRPr="00ED69D1" w:rsidRDefault="00C418AB" w:rsidP="006C1301">
      <w:pPr>
        <w:spacing w:after="0" w:line="240" w:lineRule="auto"/>
        <w:jc w:val="both"/>
        <w:rPr>
          <w:rFonts w:ascii="Arial" w:eastAsiaTheme="minorEastAsia" w:hAnsi="Arial" w:cs="Arial"/>
          <w:sz w:val="20"/>
          <w:szCs w:val="20"/>
          <w:lang w:eastAsia="en-AU"/>
        </w:rPr>
      </w:pPr>
    </w:p>
    <w:p w14:paraId="390FD1A7" w14:textId="4239264B" w:rsidR="006C1301" w:rsidRPr="00ED69D1" w:rsidRDefault="006C1301" w:rsidP="006C1301">
      <w:pPr>
        <w:spacing w:after="0" w:line="240" w:lineRule="auto"/>
        <w:jc w:val="both"/>
        <w:rPr>
          <w:rFonts w:ascii="Arial" w:eastAsiaTheme="minorEastAsia" w:hAnsi="Arial" w:cs="Arial"/>
          <w:sz w:val="20"/>
          <w:szCs w:val="20"/>
          <w:lang w:eastAsia="en-AU"/>
        </w:rPr>
      </w:pPr>
      <w:r w:rsidRPr="00ED69D1">
        <w:rPr>
          <w:rFonts w:ascii="Arial" w:eastAsiaTheme="minorEastAsia" w:hAnsi="Arial" w:cs="Arial"/>
          <w:sz w:val="20"/>
          <w:szCs w:val="20"/>
          <w:lang w:eastAsia="en-AU"/>
        </w:rPr>
        <w:t xml:space="preserve">The rate for this category maintains an increase to the average rate </w:t>
      </w:r>
      <w:r w:rsidR="000F1CBB">
        <w:rPr>
          <w:rFonts w:ascii="Arial" w:eastAsiaTheme="minorEastAsia" w:hAnsi="Arial" w:cs="Arial"/>
          <w:sz w:val="20"/>
          <w:szCs w:val="20"/>
          <w:lang w:eastAsia="en-AU"/>
        </w:rPr>
        <w:t>per property</w:t>
      </w:r>
      <w:r w:rsidRPr="00ED69D1">
        <w:rPr>
          <w:rFonts w:ascii="Arial" w:eastAsiaTheme="minorEastAsia" w:hAnsi="Arial" w:cs="Arial"/>
          <w:sz w:val="20"/>
          <w:szCs w:val="20"/>
          <w:lang w:eastAsia="en-AU"/>
        </w:rPr>
        <w:t xml:space="preserve"> of </w:t>
      </w:r>
      <w:r w:rsidR="00356ACD" w:rsidRPr="00356ACD">
        <w:rPr>
          <w:rFonts w:ascii="Arial" w:eastAsiaTheme="minorEastAsia" w:hAnsi="Arial" w:cs="Arial"/>
          <w:sz w:val="20"/>
          <w:szCs w:val="20"/>
          <w:lang w:eastAsia="en-AU"/>
        </w:rPr>
        <w:t>5</w:t>
      </w:r>
      <w:r w:rsidR="006354A0" w:rsidRPr="00356ACD">
        <w:rPr>
          <w:rFonts w:ascii="Arial" w:eastAsiaTheme="minorEastAsia" w:hAnsi="Arial" w:cs="Arial"/>
          <w:sz w:val="20"/>
          <w:szCs w:val="20"/>
          <w:lang w:eastAsia="en-AU"/>
        </w:rPr>
        <w:t>.</w:t>
      </w:r>
      <w:r w:rsidR="00254246" w:rsidRPr="00356ACD">
        <w:rPr>
          <w:rFonts w:ascii="Arial" w:eastAsiaTheme="minorEastAsia" w:hAnsi="Arial" w:cs="Arial"/>
          <w:sz w:val="20"/>
          <w:szCs w:val="20"/>
          <w:lang w:eastAsia="en-AU"/>
        </w:rPr>
        <w:t>0</w:t>
      </w:r>
      <w:r w:rsidR="00575B51" w:rsidRPr="00356ACD">
        <w:rPr>
          <w:rFonts w:ascii="Arial" w:eastAsiaTheme="minorEastAsia" w:hAnsi="Arial" w:cs="Arial"/>
          <w:sz w:val="20"/>
          <w:szCs w:val="20"/>
          <w:lang w:eastAsia="en-AU"/>
        </w:rPr>
        <w:t>%</w:t>
      </w:r>
      <w:r w:rsidR="00FC0BCD" w:rsidRPr="00ED69D1">
        <w:rPr>
          <w:rFonts w:ascii="Arial" w:eastAsiaTheme="minorEastAsia" w:hAnsi="Arial" w:cs="Arial"/>
          <w:sz w:val="20"/>
          <w:szCs w:val="20"/>
          <w:lang w:eastAsia="en-AU"/>
        </w:rPr>
        <w:t xml:space="preserve"> with </w:t>
      </w:r>
      <w:r w:rsidR="00593E7A" w:rsidRPr="00ED69D1">
        <w:rPr>
          <w:rFonts w:ascii="Arial" w:eastAsiaTheme="minorEastAsia" w:hAnsi="Arial" w:cs="Arial"/>
          <w:sz w:val="20"/>
          <w:szCs w:val="20"/>
          <w:lang w:eastAsia="en-AU"/>
        </w:rPr>
        <w:t xml:space="preserve">an increase </w:t>
      </w:r>
      <w:r w:rsidR="00BE1BEC" w:rsidRPr="00ED69D1">
        <w:rPr>
          <w:rFonts w:ascii="Arial" w:eastAsiaTheme="minorEastAsia" w:hAnsi="Arial" w:cs="Arial"/>
          <w:sz w:val="20"/>
          <w:szCs w:val="20"/>
          <w:lang w:eastAsia="en-AU"/>
        </w:rPr>
        <w:t xml:space="preserve">in the rate-in-the-dollar of </w:t>
      </w:r>
      <w:r w:rsidR="00E74B4E">
        <w:rPr>
          <w:rFonts w:ascii="Arial" w:eastAsiaTheme="minorEastAsia" w:hAnsi="Arial" w:cs="Arial"/>
          <w:sz w:val="20"/>
          <w:szCs w:val="20"/>
          <w:lang w:eastAsia="en-AU"/>
        </w:rPr>
        <w:t xml:space="preserve">11% </w:t>
      </w:r>
      <w:r w:rsidR="00BE1BEC" w:rsidRPr="00ED69D1">
        <w:rPr>
          <w:rFonts w:ascii="Arial" w:eastAsiaTheme="minorEastAsia" w:hAnsi="Arial" w:cs="Arial"/>
          <w:sz w:val="20"/>
          <w:szCs w:val="20"/>
          <w:lang w:eastAsia="en-AU"/>
        </w:rPr>
        <w:t xml:space="preserve">for the </w:t>
      </w:r>
      <w:r w:rsidR="00C01E0B">
        <w:rPr>
          <w:rFonts w:ascii="Arial" w:eastAsiaTheme="minorEastAsia" w:hAnsi="Arial" w:cs="Arial"/>
          <w:sz w:val="20"/>
          <w:szCs w:val="20"/>
          <w:lang w:eastAsia="en-AU"/>
        </w:rPr>
        <w:t>202</w:t>
      </w:r>
      <w:r w:rsidR="00F8644E">
        <w:rPr>
          <w:rFonts w:ascii="Arial" w:eastAsiaTheme="minorEastAsia" w:hAnsi="Arial" w:cs="Arial"/>
          <w:sz w:val="20"/>
          <w:szCs w:val="20"/>
          <w:lang w:eastAsia="en-AU"/>
        </w:rPr>
        <w:t>5</w:t>
      </w:r>
      <w:r w:rsidR="00C01E0B">
        <w:rPr>
          <w:rFonts w:ascii="Arial" w:eastAsiaTheme="minorEastAsia" w:hAnsi="Arial" w:cs="Arial"/>
          <w:sz w:val="20"/>
          <w:szCs w:val="20"/>
          <w:lang w:eastAsia="en-AU"/>
        </w:rPr>
        <w:t>/2</w:t>
      </w:r>
      <w:r w:rsidR="00F8644E">
        <w:rPr>
          <w:rFonts w:ascii="Arial" w:eastAsiaTheme="minorEastAsia" w:hAnsi="Arial" w:cs="Arial"/>
          <w:sz w:val="20"/>
          <w:szCs w:val="20"/>
          <w:lang w:eastAsia="en-AU"/>
        </w:rPr>
        <w:t>6</w:t>
      </w:r>
      <w:r w:rsidRPr="00ED69D1">
        <w:rPr>
          <w:rFonts w:ascii="Arial" w:eastAsiaTheme="minorEastAsia" w:hAnsi="Arial" w:cs="Arial"/>
          <w:sz w:val="20"/>
          <w:szCs w:val="20"/>
          <w:lang w:eastAsia="en-AU"/>
        </w:rPr>
        <w:t xml:space="preserve"> financial year.</w:t>
      </w:r>
      <w:r w:rsidR="003E4A91" w:rsidRPr="00ED69D1">
        <w:rPr>
          <w:rFonts w:ascii="Arial" w:eastAsiaTheme="minorEastAsia" w:hAnsi="Arial" w:cs="Arial"/>
          <w:sz w:val="20"/>
          <w:szCs w:val="20"/>
          <w:lang w:eastAsia="en-AU"/>
        </w:rPr>
        <w:t xml:space="preserve"> </w:t>
      </w:r>
      <w:r w:rsidR="00E74B4E">
        <w:rPr>
          <w:rFonts w:ascii="Arial" w:eastAsiaTheme="minorEastAsia" w:hAnsi="Arial" w:cs="Arial"/>
          <w:sz w:val="20"/>
          <w:szCs w:val="20"/>
          <w:lang w:eastAsia="en-AU"/>
        </w:rPr>
        <w:t>The rate in the dollar has increased</w:t>
      </w:r>
      <w:r w:rsidR="00072285">
        <w:rPr>
          <w:rFonts w:ascii="Arial" w:eastAsiaTheme="minorEastAsia" w:hAnsi="Arial" w:cs="Arial"/>
          <w:sz w:val="20"/>
          <w:szCs w:val="20"/>
          <w:lang w:eastAsia="en-AU"/>
        </w:rPr>
        <w:t xml:space="preserve"> more than the scheduled 5.0% increase due to the</w:t>
      </w:r>
      <w:r w:rsidR="00542E7C">
        <w:rPr>
          <w:rFonts w:ascii="Arial" w:eastAsiaTheme="minorEastAsia" w:hAnsi="Arial" w:cs="Arial"/>
          <w:sz w:val="20"/>
          <w:szCs w:val="20"/>
          <w:lang w:eastAsia="en-AU"/>
        </w:rPr>
        <w:t xml:space="preserve"> decrease in </w:t>
      </w:r>
      <w:r w:rsidR="00072285">
        <w:rPr>
          <w:rFonts w:ascii="Arial" w:eastAsiaTheme="minorEastAsia" w:hAnsi="Arial" w:cs="Arial"/>
          <w:sz w:val="20"/>
          <w:szCs w:val="20"/>
          <w:lang w:eastAsia="en-AU"/>
        </w:rPr>
        <w:t>valuation</w:t>
      </w:r>
      <w:r w:rsidR="00542E7C">
        <w:rPr>
          <w:rFonts w:ascii="Arial" w:eastAsiaTheme="minorEastAsia" w:hAnsi="Arial" w:cs="Arial"/>
          <w:sz w:val="20"/>
          <w:szCs w:val="20"/>
          <w:lang w:eastAsia="en-AU"/>
        </w:rPr>
        <w:t>s</w:t>
      </w:r>
      <w:r w:rsidR="00072285">
        <w:rPr>
          <w:rFonts w:ascii="Arial" w:eastAsiaTheme="minorEastAsia" w:hAnsi="Arial" w:cs="Arial"/>
          <w:sz w:val="20"/>
          <w:szCs w:val="20"/>
          <w:lang w:eastAsia="en-AU"/>
        </w:rPr>
        <w:t xml:space="preserve"> of the unimproved value of th</w:t>
      </w:r>
      <w:r w:rsidR="00542E7C">
        <w:rPr>
          <w:rFonts w:ascii="Arial" w:eastAsiaTheme="minorEastAsia" w:hAnsi="Arial" w:cs="Arial"/>
          <w:sz w:val="20"/>
          <w:szCs w:val="20"/>
          <w:lang w:eastAsia="en-AU"/>
        </w:rPr>
        <w:t xml:space="preserve">is category. </w:t>
      </w:r>
      <w:r w:rsidR="003E4A91" w:rsidRPr="00ED69D1">
        <w:rPr>
          <w:rFonts w:ascii="Arial" w:eastAsiaTheme="minorEastAsia" w:hAnsi="Arial" w:cs="Arial"/>
          <w:sz w:val="20"/>
          <w:szCs w:val="20"/>
          <w:lang w:eastAsia="en-AU"/>
        </w:rPr>
        <w:t xml:space="preserve">The UV minimum rate of </w:t>
      </w:r>
      <w:r w:rsidR="003E4A91" w:rsidRPr="00B24259">
        <w:rPr>
          <w:rFonts w:ascii="Arial" w:eastAsiaTheme="minorEastAsia" w:hAnsi="Arial" w:cs="Arial"/>
          <w:sz w:val="20"/>
          <w:szCs w:val="20"/>
          <w:lang w:eastAsia="en-AU"/>
        </w:rPr>
        <w:t>$</w:t>
      </w:r>
      <w:r w:rsidR="00F307D2" w:rsidRPr="00B24259">
        <w:rPr>
          <w:rFonts w:ascii="Arial" w:eastAsiaTheme="minorEastAsia" w:hAnsi="Arial" w:cs="Arial"/>
          <w:sz w:val="20"/>
          <w:szCs w:val="20"/>
          <w:lang w:eastAsia="en-AU"/>
        </w:rPr>
        <w:t>3</w:t>
      </w:r>
      <w:r w:rsidR="00505774" w:rsidRPr="00B24259">
        <w:rPr>
          <w:rFonts w:ascii="Arial" w:eastAsiaTheme="minorEastAsia" w:hAnsi="Arial" w:cs="Arial"/>
          <w:sz w:val="20"/>
          <w:szCs w:val="20"/>
          <w:lang w:eastAsia="en-AU"/>
        </w:rPr>
        <w:t>67</w:t>
      </w:r>
      <w:r w:rsidR="003E4A91" w:rsidRPr="00ED69D1">
        <w:rPr>
          <w:rFonts w:ascii="Arial" w:eastAsiaTheme="minorEastAsia" w:hAnsi="Arial" w:cs="Arial"/>
          <w:sz w:val="20"/>
          <w:szCs w:val="20"/>
          <w:lang w:eastAsia="en-AU"/>
        </w:rPr>
        <w:t xml:space="preserve"> is to ensure that all ratepayers make a reasonable contribution for basic services and infrastructure.</w:t>
      </w:r>
    </w:p>
    <w:p w14:paraId="2EEAD5C0" w14:textId="77777777" w:rsidR="00715762" w:rsidRPr="00ED69D1" w:rsidRDefault="00715762" w:rsidP="00850A3A">
      <w:pPr>
        <w:spacing w:after="0" w:line="240" w:lineRule="auto"/>
        <w:jc w:val="both"/>
        <w:rPr>
          <w:rFonts w:ascii="Arial" w:hAnsi="Arial" w:cs="Arial"/>
          <w:b/>
          <w:sz w:val="20"/>
          <w:szCs w:val="20"/>
        </w:rPr>
      </w:pPr>
    </w:p>
    <w:p w14:paraId="0216F7AD" w14:textId="564C9509" w:rsidR="00604354" w:rsidRPr="00ED69D1" w:rsidRDefault="00604354" w:rsidP="00850A3A">
      <w:pPr>
        <w:spacing w:after="0" w:line="240" w:lineRule="auto"/>
        <w:jc w:val="both"/>
        <w:rPr>
          <w:rFonts w:ascii="Arial" w:hAnsi="Arial" w:cs="Arial"/>
          <w:sz w:val="20"/>
          <w:szCs w:val="20"/>
        </w:rPr>
      </w:pPr>
      <w:r w:rsidRPr="00ED69D1">
        <w:rPr>
          <w:rFonts w:ascii="Arial" w:hAnsi="Arial" w:cs="Arial"/>
          <w:b/>
          <w:sz w:val="20"/>
          <w:szCs w:val="20"/>
        </w:rPr>
        <w:t xml:space="preserve">Mining/Other </w:t>
      </w:r>
      <w:r w:rsidRPr="00ED69D1">
        <w:rPr>
          <w:rFonts w:ascii="Arial" w:hAnsi="Arial" w:cs="Arial"/>
          <w:sz w:val="20"/>
          <w:szCs w:val="20"/>
        </w:rPr>
        <w:t>– means any land:</w:t>
      </w:r>
    </w:p>
    <w:p w14:paraId="462861EB" w14:textId="6EF16F20" w:rsidR="00604354" w:rsidRPr="00ED69D1" w:rsidRDefault="00604354" w:rsidP="00850A3A">
      <w:pPr>
        <w:pStyle w:val="ListParagraph"/>
        <w:numPr>
          <w:ilvl w:val="0"/>
          <w:numId w:val="7"/>
        </w:numPr>
        <w:jc w:val="both"/>
        <w:rPr>
          <w:rFonts w:cs="Arial"/>
          <w:szCs w:val="20"/>
        </w:rPr>
      </w:pPr>
      <w:r w:rsidRPr="00ED69D1">
        <w:rPr>
          <w:rFonts w:cs="Arial"/>
          <w:szCs w:val="20"/>
        </w:rPr>
        <w:t>that a mining, exploration</w:t>
      </w:r>
      <w:r w:rsidR="003D481D" w:rsidRPr="00ED69D1">
        <w:rPr>
          <w:rFonts w:cs="Arial"/>
          <w:szCs w:val="20"/>
        </w:rPr>
        <w:t>,</w:t>
      </w:r>
      <w:r w:rsidRPr="00ED69D1">
        <w:rPr>
          <w:rFonts w:cs="Arial"/>
          <w:szCs w:val="20"/>
        </w:rPr>
        <w:t xml:space="preserve"> prospecting </w:t>
      </w:r>
      <w:r w:rsidR="003D481D" w:rsidRPr="00ED69D1">
        <w:rPr>
          <w:rFonts w:cs="Arial"/>
          <w:szCs w:val="20"/>
        </w:rPr>
        <w:t xml:space="preserve">or retention </w:t>
      </w:r>
      <w:r w:rsidRPr="00ED69D1">
        <w:rPr>
          <w:rFonts w:cs="Arial"/>
          <w:szCs w:val="20"/>
        </w:rPr>
        <w:t xml:space="preserve">lease and/or license has been </w:t>
      </w:r>
      <w:r w:rsidR="00E15163" w:rsidRPr="00ED69D1">
        <w:rPr>
          <w:rFonts w:cs="Arial"/>
          <w:szCs w:val="20"/>
        </w:rPr>
        <w:t>granted.</w:t>
      </w:r>
      <w:r w:rsidRPr="00ED69D1">
        <w:rPr>
          <w:rFonts w:cs="Arial"/>
          <w:szCs w:val="20"/>
        </w:rPr>
        <w:t xml:space="preserve"> </w:t>
      </w:r>
    </w:p>
    <w:p w14:paraId="16414573" w14:textId="77777777" w:rsidR="00604354" w:rsidRPr="00ED69D1" w:rsidRDefault="00604354" w:rsidP="00305727">
      <w:pPr>
        <w:pStyle w:val="NoSpacing"/>
        <w:spacing w:before="40" w:after="40"/>
        <w:ind w:firstLine="720"/>
        <w:rPr>
          <w:rFonts w:ascii="Arial" w:hAnsi="Arial" w:cs="Arial"/>
          <w:b/>
          <w:sz w:val="20"/>
          <w:szCs w:val="20"/>
        </w:rPr>
      </w:pPr>
      <w:r w:rsidRPr="00ED69D1">
        <w:rPr>
          <w:rFonts w:ascii="Arial" w:hAnsi="Arial" w:cs="Arial"/>
          <w:b/>
          <w:sz w:val="20"/>
          <w:szCs w:val="20"/>
        </w:rPr>
        <w:t>or</w:t>
      </w:r>
    </w:p>
    <w:p w14:paraId="6112056C" w14:textId="77777777" w:rsidR="00604354" w:rsidRPr="00ED69D1" w:rsidRDefault="00604354" w:rsidP="00850A3A">
      <w:pPr>
        <w:pStyle w:val="ListParagraph"/>
        <w:numPr>
          <w:ilvl w:val="0"/>
          <w:numId w:val="7"/>
        </w:numPr>
        <w:jc w:val="both"/>
        <w:rPr>
          <w:rFonts w:cs="Arial"/>
          <w:szCs w:val="20"/>
        </w:rPr>
      </w:pPr>
      <w:r w:rsidRPr="00ED69D1">
        <w:rPr>
          <w:rFonts w:cs="Arial"/>
          <w:szCs w:val="20"/>
        </w:rPr>
        <w:t>that does not have the characteristics of any other UV differential rate category.</w:t>
      </w:r>
    </w:p>
    <w:p w14:paraId="0B66E65D" w14:textId="77777777" w:rsidR="002C1CAE" w:rsidRPr="00ED69D1" w:rsidRDefault="002C1CAE" w:rsidP="00850A3A">
      <w:pPr>
        <w:spacing w:after="0" w:line="240" w:lineRule="auto"/>
        <w:ind w:left="720"/>
        <w:jc w:val="both"/>
        <w:rPr>
          <w:rFonts w:cs="Arial"/>
          <w:szCs w:val="20"/>
        </w:rPr>
      </w:pPr>
    </w:p>
    <w:p w14:paraId="05A0475E" w14:textId="4DF328B2" w:rsidR="009917BA" w:rsidRPr="00ED69D1" w:rsidRDefault="00B0765D" w:rsidP="009917BA">
      <w:pPr>
        <w:spacing w:after="0" w:line="240" w:lineRule="auto"/>
        <w:jc w:val="both"/>
        <w:rPr>
          <w:rFonts w:ascii="Arial" w:eastAsiaTheme="minorEastAsia" w:hAnsi="Arial" w:cs="Arial"/>
          <w:sz w:val="20"/>
          <w:szCs w:val="20"/>
          <w:lang w:eastAsia="en-AU"/>
        </w:rPr>
      </w:pPr>
      <w:r w:rsidRPr="00ED69D1">
        <w:rPr>
          <w:rFonts w:ascii="Arial" w:eastAsiaTheme="minorEastAsia" w:hAnsi="Arial" w:cs="Arial"/>
          <w:sz w:val="20"/>
          <w:szCs w:val="20"/>
          <w:lang w:eastAsia="en-AU"/>
        </w:rPr>
        <w:t xml:space="preserve">The </w:t>
      </w:r>
      <w:r w:rsidR="000F527A" w:rsidRPr="00ED69D1">
        <w:rPr>
          <w:rFonts w:ascii="Arial" w:eastAsiaTheme="minorEastAsia" w:hAnsi="Arial" w:cs="Arial"/>
          <w:sz w:val="20"/>
          <w:szCs w:val="20"/>
          <w:lang w:eastAsia="en-AU"/>
        </w:rPr>
        <w:t>reason</w:t>
      </w:r>
      <w:r w:rsidRPr="00ED69D1">
        <w:rPr>
          <w:rFonts w:ascii="Arial" w:eastAsiaTheme="minorEastAsia" w:hAnsi="Arial" w:cs="Arial"/>
          <w:sz w:val="20"/>
          <w:szCs w:val="20"/>
          <w:lang w:eastAsia="en-AU"/>
        </w:rPr>
        <w:t xml:space="preserve"> for this category is to reflect the impact on utilisation of rural infrastructure </w:t>
      </w:r>
      <w:r w:rsidR="00446573" w:rsidRPr="00ED69D1">
        <w:rPr>
          <w:rFonts w:ascii="Arial" w:eastAsiaTheme="minorEastAsia" w:hAnsi="Arial" w:cs="Arial"/>
          <w:sz w:val="20"/>
          <w:szCs w:val="20"/>
          <w:lang w:eastAsia="en-AU"/>
        </w:rPr>
        <w:t xml:space="preserve">(comparative to Pastoral) </w:t>
      </w:r>
      <w:r w:rsidRPr="00ED69D1">
        <w:rPr>
          <w:rFonts w:ascii="Arial" w:eastAsiaTheme="minorEastAsia" w:hAnsi="Arial" w:cs="Arial"/>
          <w:sz w:val="20"/>
          <w:szCs w:val="20"/>
          <w:lang w:eastAsia="en-AU"/>
        </w:rPr>
        <w:t>by heavy transport and associated higher traffic volumes.</w:t>
      </w:r>
      <w:r w:rsidR="009917BA" w:rsidRPr="00ED69D1">
        <w:rPr>
          <w:rFonts w:ascii="Arial" w:eastAsiaTheme="minorEastAsia" w:hAnsi="Arial" w:cs="Arial"/>
          <w:sz w:val="20"/>
          <w:szCs w:val="20"/>
          <w:lang w:eastAsia="en-AU"/>
        </w:rPr>
        <w:t xml:space="preserve"> In </w:t>
      </w:r>
      <w:r w:rsidR="001F06F2" w:rsidRPr="00ED69D1">
        <w:rPr>
          <w:rFonts w:ascii="Arial" w:eastAsiaTheme="minorEastAsia" w:hAnsi="Arial" w:cs="Arial"/>
          <w:sz w:val="20"/>
          <w:szCs w:val="20"/>
          <w:lang w:eastAsia="en-AU"/>
        </w:rPr>
        <w:t>addition,</w:t>
      </w:r>
      <w:r w:rsidR="009917BA" w:rsidRPr="00ED69D1">
        <w:rPr>
          <w:rFonts w:ascii="Arial" w:eastAsiaTheme="minorEastAsia" w:hAnsi="Arial" w:cs="Arial"/>
          <w:sz w:val="20"/>
          <w:szCs w:val="20"/>
          <w:lang w:eastAsia="en-AU"/>
        </w:rPr>
        <w:t xml:space="preserve"> these properties have access to all other services and facilities provided by Council.</w:t>
      </w:r>
    </w:p>
    <w:p w14:paraId="70DEA2DC" w14:textId="77777777" w:rsidR="00B0765D" w:rsidRPr="00ED69D1" w:rsidRDefault="00B0765D" w:rsidP="008D2163">
      <w:pPr>
        <w:spacing w:after="0" w:line="240" w:lineRule="auto"/>
        <w:jc w:val="both"/>
        <w:rPr>
          <w:rFonts w:ascii="Arial" w:eastAsiaTheme="minorEastAsia" w:hAnsi="Arial" w:cs="Arial"/>
          <w:sz w:val="20"/>
          <w:szCs w:val="20"/>
          <w:lang w:eastAsia="en-AU"/>
        </w:rPr>
      </w:pPr>
    </w:p>
    <w:p w14:paraId="281AB73A" w14:textId="5FDE899F" w:rsidR="008D2163" w:rsidRPr="00ED69D1" w:rsidRDefault="00FC0BCD" w:rsidP="008D2163">
      <w:pPr>
        <w:spacing w:after="0" w:line="240" w:lineRule="auto"/>
        <w:jc w:val="both"/>
        <w:rPr>
          <w:rFonts w:ascii="Arial" w:eastAsiaTheme="minorEastAsia" w:hAnsi="Arial" w:cs="Arial"/>
          <w:sz w:val="20"/>
          <w:szCs w:val="20"/>
          <w:lang w:eastAsia="en-AU"/>
        </w:rPr>
      </w:pPr>
      <w:r w:rsidRPr="00ED69D1">
        <w:rPr>
          <w:rFonts w:ascii="Arial" w:eastAsiaTheme="minorEastAsia" w:hAnsi="Arial" w:cs="Arial"/>
          <w:sz w:val="20"/>
          <w:szCs w:val="20"/>
          <w:lang w:eastAsia="en-AU"/>
        </w:rPr>
        <w:t xml:space="preserve">The rate for this category maintains </w:t>
      </w:r>
      <w:r w:rsidR="00E7594F">
        <w:rPr>
          <w:rFonts w:ascii="Arial" w:eastAsiaTheme="minorEastAsia" w:hAnsi="Arial" w:cs="Arial"/>
          <w:sz w:val="20"/>
          <w:szCs w:val="20"/>
          <w:lang w:eastAsia="en-AU"/>
        </w:rPr>
        <w:t>a decrease</w:t>
      </w:r>
      <w:r w:rsidRPr="00ED69D1">
        <w:rPr>
          <w:rFonts w:ascii="Arial" w:eastAsiaTheme="minorEastAsia" w:hAnsi="Arial" w:cs="Arial"/>
          <w:sz w:val="20"/>
          <w:szCs w:val="20"/>
          <w:lang w:eastAsia="en-AU"/>
        </w:rPr>
        <w:t xml:space="preserve"> to the average rate for </w:t>
      </w:r>
      <w:r w:rsidR="008D2163" w:rsidRPr="00ED69D1">
        <w:rPr>
          <w:rFonts w:ascii="Arial" w:eastAsiaTheme="minorEastAsia" w:hAnsi="Arial" w:cs="Arial"/>
          <w:sz w:val="20"/>
          <w:szCs w:val="20"/>
          <w:lang w:eastAsia="en-AU"/>
        </w:rPr>
        <w:t xml:space="preserve">Mining/Other properties </w:t>
      </w:r>
      <w:r w:rsidRPr="00791B36">
        <w:rPr>
          <w:rFonts w:ascii="Arial" w:eastAsiaTheme="minorEastAsia" w:hAnsi="Arial" w:cs="Arial"/>
          <w:sz w:val="20"/>
          <w:szCs w:val="20"/>
          <w:lang w:eastAsia="en-AU"/>
        </w:rPr>
        <w:t xml:space="preserve">of </w:t>
      </w:r>
      <w:r w:rsidR="002140B2">
        <w:rPr>
          <w:rFonts w:ascii="Arial" w:eastAsiaTheme="minorEastAsia" w:hAnsi="Arial" w:cs="Arial"/>
          <w:sz w:val="20"/>
          <w:szCs w:val="20"/>
          <w:lang w:eastAsia="en-AU"/>
        </w:rPr>
        <w:t>2</w:t>
      </w:r>
      <w:r w:rsidR="00581845" w:rsidRPr="00862986">
        <w:rPr>
          <w:rFonts w:ascii="Arial" w:eastAsiaTheme="minorEastAsia" w:hAnsi="Arial" w:cs="Arial"/>
          <w:sz w:val="20"/>
          <w:szCs w:val="20"/>
          <w:lang w:eastAsia="en-AU"/>
        </w:rPr>
        <w:t>.</w:t>
      </w:r>
      <w:r w:rsidR="002140B2">
        <w:rPr>
          <w:rFonts w:ascii="Arial" w:eastAsiaTheme="minorEastAsia" w:hAnsi="Arial" w:cs="Arial"/>
          <w:sz w:val="20"/>
          <w:szCs w:val="20"/>
          <w:lang w:eastAsia="en-AU"/>
        </w:rPr>
        <w:t>3</w:t>
      </w:r>
      <w:r w:rsidR="00575B51" w:rsidRPr="00862986">
        <w:rPr>
          <w:rFonts w:ascii="Arial" w:eastAsiaTheme="minorEastAsia" w:hAnsi="Arial" w:cs="Arial"/>
          <w:sz w:val="20"/>
          <w:szCs w:val="20"/>
          <w:lang w:eastAsia="en-AU"/>
        </w:rPr>
        <w:t>%</w:t>
      </w:r>
      <w:r w:rsidRPr="00ED69D1">
        <w:rPr>
          <w:rFonts w:ascii="Arial" w:eastAsiaTheme="minorEastAsia" w:hAnsi="Arial" w:cs="Arial"/>
          <w:sz w:val="20"/>
          <w:szCs w:val="20"/>
          <w:lang w:eastAsia="en-AU"/>
        </w:rPr>
        <w:t xml:space="preserve"> with </w:t>
      </w:r>
      <w:r w:rsidR="00593E7A" w:rsidRPr="00ED69D1">
        <w:rPr>
          <w:rFonts w:ascii="Arial" w:eastAsiaTheme="minorEastAsia" w:hAnsi="Arial" w:cs="Arial"/>
          <w:sz w:val="20"/>
          <w:szCs w:val="20"/>
          <w:lang w:eastAsia="en-AU"/>
        </w:rPr>
        <w:t>a</w:t>
      </w:r>
      <w:r w:rsidR="00862986">
        <w:rPr>
          <w:rFonts w:ascii="Arial" w:eastAsiaTheme="minorEastAsia" w:hAnsi="Arial" w:cs="Arial"/>
          <w:sz w:val="20"/>
          <w:szCs w:val="20"/>
          <w:lang w:eastAsia="en-AU"/>
        </w:rPr>
        <w:t xml:space="preserve"> decrease</w:t>
      </w:r>
      <w:r w:rsidR="00593E7A" w:rsidRPr="00ED69D1">
        <w:rPr>
          <w:rFonts w:ascii="Arial" w:eastAsiaTheme="minorEastAsia" w:hAnsi="Arial" w:cs="Arial"/>
          <w:sz w:val="20"/>
          <w:szCs w:val="20"/>
          <w:lang w:eastAsia="en-AU"/>
        </w:rPr>
        <w:t xml:space="preserve"> </w:t>
      </w:r>
      <w:r w:rsidR="00BE1BEC" w:rsidRPr="00ED69D1">
        <w:rPr>
          <w:rFonts w:ascii="Arial" w:eastAsiaTheme="minorEastAsia" w:hAnsi="Arial" w:cs="Arial"/>
          <w:sz w:val="20"/>
          <w:szCs w:val="20"/>
          <w:lang w:eastAsia="en-AU"/>
        </w:rPr>
        <w:t xml:space="preserve">in the rate-in-the-dollar for the </w:t>
      </w:r>
      <w:r w:rsidR="00C01E0B">
        <w:rPr>
          <w:rFonts w:ascii="Arial" w:eastAsiaTheme="minorEastAsia" w:hAnsi="Arial" w:cs="Arial"/>
          <w:sz w:val="20"/>
          <w:szCs w:val="20"/>
          <w:lang w:eastAsia="en-AU"/>
        </w:rPr>
        <w:t>202</w:t>
      </w:r>
      <w:r w:rsidR="00F8644E">
        <w:rPr>
          <w:rFonts w:ascii="Arial" w:eastAsiaTheme="minorEastAsia" w:hAnsi="Arial" w:cs="Arial"/>
          <w:sz w:val="20"/>
          <w:szCs w:val="20"/>
          <w:lang w:eastAsia="en-AU"/>
        </w:rPr>
        <w:t>5</w:t>
      </w:r>
      <w:r w:rsidR="00C01E0B">
        <w:rPr>
          <w:rFonts w:ascii="Arial" w:eastAsiaTheme="minorEastAsia" w:hAnsi="Arial" w:cs="Arial"/>
          <w:sz w:val="20"/>
          <w:szCs w:val="20"/>
          <w:lang w:eastAsia="en-AU"/>
        </w:rPr>
        <w:t>/2</w:t>
      </w:r>
      <w:r w:rsidR="00F8644E">
        <w:rPr>
          <w:rFonts w:ascii="Arial" w:eastAsiaTheme="minorEastAsia" w:hAnsi="Arial" w:cs="Arial"/>
          <w:sz w:val="20"/>
          <w:szCs w:val="20"/>
          <w:lang w:eastAsia="en-AU"/>
        </w:rPr>
        <w:t>6</w:t>
      </w:r>
      <w:r w:rsidR="008D2163" w:rsidRPr="00ED69D1">
        <w:rPr>
          <w:rFonts w:ascii="Arial" w:eastAsiaTheme="minorEastAsia" w:hAnsi="Arial" w:cs="Arial"/>
          <w:sz w:val="20"/>
          <w:szCs w:val="20"/>
          <w:lang w:eastAsia="en-AU"/>
        </w:rPr>
        <w:t xml:space="preserve"> financial year</w:t>
      </w:r>
      <w:r w:rsidR="009976E9">
        <w:rPr>
          <w:rFonts w:ascii="Arial" w:eastAsiaTheme="minorEastAsia" w:hAnsi="Arial" w:cs="Arial"/>
          <w:sz w:val="20"/>
          <w:szCs w:val="20"/>
          <w:lang w:eastAsia="en-AU"/>
        </w:rPr>
        <w:t xml:space="preserve"> due to </w:t>
      </w:r>
      <w:r w:rsidR="00A77017">
        <w:rPr>
          <w:rFonts w:ascii="Arial" w:eastAsiaTheme="minorEastAsia" w:hAnsi="Arial" w:cs="Arial"/>
          <w:sz w:val="20"/>
          <w:szCs w:val="20"/>
          <w:lang w:eastAsia="en-AU"/>
        </w:rPr>
        <w:t xml:space="preserve">UV </w:t>
      </w:r>
      <w:r w:rsidR="009976E9">
        <w:rPr>
          <w:rFonts w:ascii="Arial" w:eastAsiaTheme="minorEastAsia" w:hAnsi="Arial" w:cs="Arial"/>
          <w:sz w:val="20"/>
          <w:szCs w:val="20"/>
          <w:lang w:eastAsia="en-AU"/>
        </w:rPr>
        <w:t>valuations</w:t>
      </w:r>
      <w:r w:rsidR="00A77017">
        <w:rPr>
          <w:rFonts w:ascii="Arial" w:eastAsiaTheme="minorEastAsia" w:hAnsi="Arial" w:cs="Arial"/>
          <w:sz w:val="20"/>
          <w:szCs w:val="20"/>
          <w:lang w:eastAsia="en-AU"/>
        </w:rPr>
        <w:t xml:space="preserve"> received</w:t>
      </w:r>
      <w:r w:rsidR="008D2163" w:rsidRPr="00ED69D1">
        <w:rPr>
          <w:rFonts w:ascii="Arial" w:eastAsiaTheme="minorEastAsia" w:hAnsi="Arial" w:cs="Arial"/>
          <w:sz w:val="20"/>
          <w:szCs w:val="20"/>
          <w:lang w:eastAsia="en-AU"/>
        </w:rPr>
        <w:t>.</w:t>
      </w:r>
      <w:r w:rsidR="00F32C4E" w:rsidRPr="00ED69D1">
        <w:rPr>
          <w:rFonts w:ascii="Arial" w:eastAsiaTheme="minorEastAsia" w:hAnsi="Arial" w:cs="Arial"/>
          <w:sz w:val="20"/>
          <w:szCs w:val="20"/>
          <w:lang w:eastAsia="en-AU"/>
        </w:rPr>
        <w:t xml:space="preserve"> </w:t>
      </w:r>
      <w:r w:rsidR="003E4A91" w:rsidRPr="00ED69D1">
        <w:rPr>
          <w:rFonts w:ascii="Arial" w:eastAsiaTheme="minorEastAsia" w:hAnsi="Arial" w:cs="Arial"/>
          <w:sz w:val="20"/>
          <w:szCs w:val="20"/>
          <w:lang w:eastAsia="en-AU"/>
        </w:rPr>
        <w:t xml:space="preserve">The UV minimum rate of </w:t>
      </w:r>
      <w:r w:rsidR="003E4A91" w:rsidRPr="00A77017">
        <w:rPr>
          <w:rFonts w:ascii="Arial" w:eastAsiaTheme="minorEastAsia" w:hAnsi="Arial" w:cs="Arial"/>
          <w:sz w:val="20"/>
          <w:szCs w:val="20"/>
          <w:lang w:eastAsia="en-AU"/>
        </w:rPr>
        <w:t>$</w:t>
      </w:r>
      <w:r w:rsidR="00F307D2" w:rsidRPr="00A77017">
        <w:rPr>
          <w:rFonts w:ascii="Arial" w:eastAsiaTheme="minorEastAsia" w:hAnsi="Arial" w:cs="Arial"/>
          <w:sz w:val="20"/>
          <w:szCs w:val="20"/>
          <w:lang w:eastAsia="en-AU"/>
        </w:rPr>
        <w:t>3</w:t>
      </w:r>
      <w:r w:rsidR="007B6D6B" w:rsidRPr="00A77017">
        <w:rPr>
          <w:rFonts w:ascii="Arial" w:eastAsiaTheme="minorEastAsia" w:hAnsi="Arial" w:cs="Arial"/>
          <w:sz w:val="20"/>
          <w:szCs w:val="20"/>
          <w:lang w:eastAsia="en-AU"/>
        </w:rPr>
        <w:t>67</w:t>
      </w:r>
      <w:r w:rsidR="003E4A91" w:rsidRPr="00ED69D1">
        <w:rPr>
          <w:rFonts w:ascii="Arial" w:eastAsiaTheme="minorEastAsia" w:hAnsi="Arial" w:cs="Arial"/>
          <w:sz w:val="20"/>
          <w:szCs w:val="20"/>
          <w:lang w:eastAsia="en-AU"/>
        </w:rPr>
        <w:t xml:space="preserve"> is to ensure that all ratepayers make a reasonable contribution for basic services and infrastructure.</w:t>
      </w:r>
    </w:p>
    <w:p w14:paraId="23F3F5BA" w14:textId="77777777" w:rsidR="00604354" w:rsidRPr="00ED69D1" w:rsidRDefault="00604354" w:rsidP="00850A3A">
      <w:pPr>
        <w:pStyle w:val="ListParagraph"/>
        <w:jc w:val="both"/>
        <w:rPr>
          <w:rFonts w:cs="Arial"/>
          <w:szCs w:val="20"/>
        </w:rPr>
      </w:pPr>
    </w:p>
    <w:p w14:paraId="6126A940" w14:textId="77777777" w:rsidR="00604354" w:rsidRPr="00ED69D1" w:rsidRDefault="00604354" w:rsidP="00850A3A">
      <w:pPr>
        <w:spacing w:after="0" w:line="240" w:lineRule="auto"/>
        <w:jc w:val="both"/>
        <w:rPr>
          <w:rFonts w:ascii="Arial" w:hAnsi="Arial" w:cs="Arial"/>
          <w:sz w:val="20"/>
          <w:szCs w:val="20"/>
        </w:rPr>
      </w:pPr>
      <w:r w:rsidRPr="00ED69D1">
        <w:rPr>
          <w:rFonts w:ascii="Arial" w:hAnsi="Arial" w:cs="Arial"/>
          <w:b/>
          <w:sz w:val="20"/>
          <w:szCs w:val="20"/>
        </w:rPr>
        <w:t>Strategic Industry –</w:t>
      </w:r>
      <w:r w:rsidRPr="00ED69D1">
        <w:rPr>
          <w:rFonts w:ascii="Arial" w:hAnsi="Arial" w:cs="Arial"/>
          <w:sz w:val="20"/>
          <w:szCs w:val="20"/>
        </w:rPr>
        <w:t xml:space="preserve"> means any land:</w:t>
      </w:r>
    </w:p>
    <w:p w14:paraId="2337DD6F" w14:textId="4053FC3F" w:rsidR="00604354" w:rsidRPr="00ED69D1" w:rsidRDefault="00604354" w:rsidP="00850A3A">
      <w:pPr>
        <w:pStyle w:val="ListParagraph"/>
        <w:numPr>
          <w:ilvl w:val="0"/>
          <w:numId w:val="6"/>
        </w:numPr>
        <w:jc w:val="both"/>
        <w:rPr>
          <w:rFonts w:cs="Arial"/>
          <w:szCs w:val="20"/>
        </w:rPr>
      </w:pPr>
      <w:r w:rsidRPr="00ED69D1">
        <w:rPr>
          <w:rFonts w:cs="Arial"/>
          <w:szCs w:val="20"/>
        </w:rPr>
        <w:t xml:space="preserve">that is predominately used for industrial </w:t>
      </w:r>
      <w:r w:rsidR="00E15163" w:rsidRPr="00ED69D1">
        <w:rPr>
          <w:rFonts w:cs="Arial"/>
          <w:szCs w:val="20"/>
        </w:rPr>
        <w:t>purposes.</w:t>
      </w:r>
      <w:r w:rsidRPr="00ED69D1">
        <w:rPr>
          <w:rFonts w:cs="Arial"/>
          <w:szCs w:val="20"/>
        </w:rPr>
        <w:t xml:space="preserve"> </w:t>
      </w:r>
    </w:p>
    <w:p w14:paraId="3136B55B" w14:textId="77777777" w:rsidR="00604354" w:rsidRPr="00ED69D1" w:rsidRDefault="00604354" w:rsidP="00305727">
      <w:pPr>
        <w:pStyle w:val="NoSpacing"/>
        <w:spacing w:before="40" w:after="40"/>
        <w:ind w:firstLine="720"/>
        <w:rPr>
          <w:rFonts w:ascii="Arial" w:hAnsi="Arial" w:cs="Arial"/>
          <w:b/>
          <w:sz w:val="20"/>
          <w:szCs w:val="20"/>
        </w:rPr>
      </w:pPr>
      <w:r w:rsidRPr="00ED69D1">
        <w:rPr>
          <w:rFonts w:ascii="Arial" w:hAnsi="Arial" w:cs="Arial"/>
          <w:b/>
          <w:sz w:val="20"/>
          <w:szCs w:val="20"/>
        </w:rPr>
        <w:t>or</w:t>
      </w:r>
    </w:p>
    <w:p w14:paraId="1AD82938" w14:textId="46BC2071" w:rsidR="00604354" w:rsidRPr="00ED69D1" w:rsidRDefault="00604354" w:rsidP="00850A3A">
      <w:pPr>
        <w:pStyle w:val="ListParagraph"/>
        <w:numPr>
          <w:ilvl w:val="0"/>
          <w:numId w:val="6"/>
        </w:numPr>
        <w:jc w:val="both"/>
        <w:rPr>
          <w:rFonts w:cs="Arial"/>
          <w:szCs w:val="20"/>
        </w:rPr>
      </w:pPr>
      <w:r w:rsidRPr="00ED69D1">
        <w:rPr>
          <w:rFonts w:cs="Arial"/>
          <w:szCs w:val="20"/>
        </w:rPr>
        <w:t xml:space="preserve">that is predominately used for the purpose of resource </w:t>
      </w:r>
      <w:r w:rsidR="00E15163" w:rsidRPr="00ED69D1">
        <w:rPr>
          <w:rFonts w:cs="Arial"/>
          <w:szCs w:val="20"/>
        </w:rPr>
        <w:t>processing.</w:t>
      </w:r>
      <w:r w:rsidRPr="00ED69D1">
        <w:rPr>
          <w:rFonts w:cs="Arial"/>
          <w:szCs w:val="20"/>
        </w:rPr>
        <w:t xml:space="preserve"> </w:t>
      </w:r>
    </w:p>
    <w:p w14:paraId="71B215EB" w14:textId="77777777" w:rsidR="00604354" w:rsidRPr="00ED69D1" w:rsidRDefault="00604354" w:rsidP="00305727">
      <w:pPr>
        <w:pStyle w:val="NoSpacing"/>
        <w:spacing w:before="40" w:after="40"/>
        <w:ind w:firstLine="720"/>
        <w:rPr>
          <w:rFonts w:ascii="Arial" w:hAnsi="Arial" w:cs="Arial"/>
          <w:b/>
          <w:sz w:val="20"/>
          <w:szCs w:val="20"/>
        </w:rPr>
      </w:pPr>
      <w:r w:rsidRPr="00ED69D1">
        <w:rPr>
          <w:rFonts w:ascii="Arial" w:hAnsi="Arial" w:cs="Arial"/>
          <w:b/>
          <w:sz w:val="20"/>
          <w:szCs w:val="20"/>
        </w:rPr>
        <w:t>or</w:t>
      </w:r>
    </w:p>
    <w:p w14:paraId="57FFCAA3" w14:textId="77777777" w:rsidR="00604354" w:rsidRPr="00ED69D1" w:rsidRDefault="00604354" w:rsidP="00850A3A">
      <w:pPr>
        <w:pStyle w:val="ListParagraph"/>
        <w:numPr>
          <w:ilvl w:val="0"/>
          <w:numId w:val="6"/>
        </w:numPr>
        <w:jc w:val="both"/>
        <w:rPr>
          <w:rFonts w:cs="Arial"/>
          <w:szCs w:val="20"/>
        </w:rPr>
      </w:pPr>
      <w:r w:rsidRPr="00ED69D1">
        <w:rPr>
          <w:rFonts w:cs="Arial"/>
          <w:szCs w:val="20"/>
        </w:rPr>
        <w:t>that is predominately used for the purpose of supporting a transient workforce</w:t>
      </w:r>
      <w:r w:rsidR="007A632C" w:rsidRPr="00ED69D1">
        <w:rPr>
          <w:rFonts w:cs="Arial"/>
          <w:szCs w:val="20"/>
        </w:rPr>
        <w:t>.</w:t>
      </w:r>
    </w:p>
    <w:p w14:paraId="0B0DA935" w14:textId="77777777" w:rsidR="002C1CAE" w:rsidRPr="00ED69D1" w:rsidRDefault="002C1CAE" w:rsidP="00850A3A">
      <w:pPr>
        <w:spacing w:after="0" w:line="240" w:lineRule="auto"/>
        <w:ind w:left="720"/>
        <w:jc w:val="both"/>
        <w:rPr>
          <w:rFonts w:cs="Arial"/>
          <w:szCs w:val="20"/>
        </w:rPr>
      </w:pPr>
    </w:p>
    <w:p w14:paraId="26210F80" w14:textId="77777777" w:rsidR="009917BA" w:rsidRPr="00ED69D1" w:rsidRDefault="00B0765D" w:rsidP="009917BA">
      <w:pPr>
        <w:spacing w:after="0" w:line="240" w:lineRule="auto"/>
        <w:jc w:val="both"/>
        <w:rPr>
          <w:rFonts w:ascii="Arial" w:eastAsiaTheme="minorEastAsia" w:hAnsi="Arial" w:cs="Arial"/>
          <w:sz w:val="20"/>
          <w:szCs w:val="20"/>
          <w:lang w:eastAsia="en-AU"/>
        </w:rPr>
      </w:pPr>
      <w:r w:rsidRPr="00ED69D1">
        <w:rPr>
          <w:rFonts w:ascii="Arial" w:eastAsiaTheme="minorEastAsia" w:hAnsi="Arial" w:cs="Arial"/>
          <w:sz w:val="20"/>
          <w:szCs w:val="20"/>
          <w:lang w:eastAsia="en-AU"/>
        </w:rPr>
        <w:t xml:space="preserve">The reasons for this category </w:t>
      </w:r>
      <w:r w:rsidR="003D481D" w:rsidRPr="00ED69D1">
        <w:rPr>
          <w:rFonts w:ascii="Arial" w:eastAsiaTheme="minorEastAsia" w:hAnsi="Arial" w:cs="Arial"/>
          <w:sz w:val="20"/>
          <w:szCs w:val="20"/>
          <w:lang w:eastAsia="en-AU"/>
        </w:rPr>
        <w:t>are</w:t>
      </w:r>
      <w:r w:rsidRPr="00ED69D1">
        <w:rPr>
          <w:rFonts w:ascii="Arial" w:eastAsiaTheme="minorEastAsia" w:hAnsi="Arial" w:cs="Arial"/>
          <w:sz w:val="20"/>
          <w:szCs w:val="20"/>
          <w:lang w:eastAsia="en-AU"/>
        </w:rPr>
        <w:t xml:space="preserve"> to reflect the impact on utilisation of </w:t>
      </w:r>
      <w:r w:rsidR="00CB2AC8" w:rsidRPr="00ED69D1">
        <w:rPr>
          <w:rFonts w:ascii="Arial" w:eastAsiaTheme="minorEastAsia" w:hAnsi="Arial" w:cs="Arial"/>
          <w:sz w:val="20"/>
          <w:szCs w:val="20"/>
          <w:lang w:eastAsia="en-AU"/>
        </w:rPr>
        <w:t xml:space="preserve">urban and </w:t>
      </w:r>
      <w:r w:rsidRPr="00ED69D1">
        <w:rPr>
          <w:rFonts w:ascii="Arial" w:eastAsiaTheme="minorEastAsia" w:hAnsi="Arial" w:cs="Arial"/>
          <w:sz w:val="20"/>
          <w:szCs w:val="20"/>
          <w:lang w:eastAsia="en-AU"/>
        </w:rPr>
        <w:t xml:space="preserve">rural infrastructure </w:t>
      </w:r>
      <w:r w:rsidR="00446573" w:rsidRPr="00ED69D1">
        <w:rPr>
          <w:rFonts w:ascii="Arial" w:eastAsiaTheme="minorEastAsia" w:hAnsi="Arial" w:cs="Arial"/>
          <w:sz w:val="20"/>
          <w:szCs w:val="20"/>
          <w:lang w:eastAsia="en-AU"/>
        </w:rPr>
        <w:t xml:space="preserve">(comparative to Pastoral) </w:t>
      </w:r>
      <w:r w:rsidRPr="00ED69D1">
        <w:rPr>
          <w:rFonts w:ascii="Arial" w:eastAsiaTheme="minorEastAsia" w:hAnsi="Arial" w:cs="Arial"/>
          <w:sz w:val="20"/>
          <w:szCs w:val="20"/>
          <w:lang w:eastAsia="en-AU"/>
        </w:rPr>
        <w:t>by heavy transport and associated higher traffic volumes</w:t>
      </w:r>
      <w:r w:rsidR="00CB2AC8" w:rsidRPr="00ED69D1">
        <w:rPr>
          <w:rFonts w:ascii="Arial" w:eastAsiaTheme="minorEastAsia" w:hAnsi="Arial" w:cs="Arial"/>
          <w:sz w:val="20"/>
          <w:szCs w:val="20"/>
          <w:lang w:eastAsia="en-AU"/>
        </w:rPr>
        <w:t xml:space="preserve"> by operations associated with State Agreements and/or significant resource sector operations</w:t>
      </w:r>
      <w:r w:rsidRPr="00ED69D1">
        <w:rPr>
          <w:rFonts w:ascii="Arial" w:eastAsiaTheme="minorEastAsia" w:hAnsi="Arial" w:cs="Arial"/>
          <w:sz w:val="20"/>
          <w:szCs w:val="20"/>
          <w:lang w:eastAsia="en-AU"/>
        </w:rPr>
        <w:t>.</w:t>
      </w:r>
      <w:r w:rsidR="009917BA" w:rsidRPr="00ED69D1">
        <w:rPr>
          <w:rFonts w:ascii="Arial" w:eastAsiaTheme="minorEastAsia" w:hAnsi="Arial" w:cs="Arial"/>
          <w:sz w:val="20"/>
          <w:szCs w:val="20"/>
          <w:lang w:eastAsia="en-AU"/>
        </w:rPr>
        <w:t xml:space="preserve"> In </w:t>
      </w:r>
      <w:r w:rsidR="001F06F2" w:rsidRPr="00ED69D1">
        <w:rPr>
          <w:rFonts w:ascii="Arial" w:eastAsiaTheme="minorEastAsia" w:hAnsi="Arial" w:cs="Arial"/>
          <w:sz w:val="20"/>
          <w:szCs w:val="20"/>
          <w:lang w:eastAsia="en-AU"/>
        </w:rPr>
        <w:t>addition,</w:t>
      </w:r>
      <w:r w:rsidR="009917BA" w:rsidRPr="00ED69D1">
        <w:rPr>
          <w:rFonts w:ascii="Arial" w:eastAsiaTheme="minorEastAsia" w:hAnsi="Arial" w:cs="Arial"/>
          <w:sz w:val="20"/>
          <w:szCs w:val="20"/>
          <w:lang w:eastAsia="en-AU"/>
        </w:rPr>
        <w:t xml:space="preserve"> these properties have access to all other services and facilities provided by Council.</w:t>
      </w:r>
    </w:p>
    <w:p w14:paraId="5D5C72A5" w14:textId="77777777" w:rsidR="006C1301" w:rsidRPr="00ED69D1" w:rsidRDefault="006C1301" w:rsidP="006C1301">
      <w:pPr>
        <w:spacing w:after="0" w:line="240" w:lineRule="auto"/>
        <w:jc w:val="both"/>
        <w:rPr>
          <w:rFonts w:ascii="Arial" w:eastAsiaTheme="minorEastAsia" w:hAnsi="Arial" w:cs="Arial"/>
          <w:sz w:val="20"/>
          <w:szCs w:val="20"/>
          <w:lang w:eastAsia="en-AU"/>
        </w:rPr>
      </w:pPr>
    </w:p>
    <w:p w14:paraId="3EA71948" w14:textId="67E1CEA9" w:rsidR="00EF175A" w:rsidRPr="00ED69D1" w:rsidRDefault="00925A50" w:rsidP="003E4A91">
      <w:pPr>
        <w:spacing w:after="0" w:line="240" w:lineRule="auto"/>
        <w:jc w:val="both"/>
        <w:rPr>
          <w:rFonts w:ascii="Arial" w:eastAsiaTheme="minorEastAsia" w:hAnsi="Arial" w:cs="Arial"/>
          <w:sz w:val="20"/>
          <w:szCs w:val="20"/>
          <w:lang w:eastAsia="en-AU"/>
        </w:rPr>
      </w:pPr>
      <w:r w:rsidRPr="00ED69D1">
        <w:rPr>
          <w:rFonts w:ascii="Arial" w:eastAsiaTheme="minorEastAsia" w:hAnsi="Arial" w:cs="Arial"/>
          <w:sz w:val="20"/>
          <w:szCs w:val="20"/>
          <w:lang w:eastAsia="en-AU"/>
        </w:rPr>
        <w:t>Properties with a land use of Strategic Industry have</w:t>
      </w:r>
      <w:r w:rsidR="00404B97" w:rsidRPr="00ED69D1">
        <w:rPr>
          <w:rFonts w:ascii="Arial" w:eastAsiaTheme="minorEastAsia" w:hAnsi="Arial" w:cs="Arial"/>
          <w:sz w:val="20"/>
          <w:szCs w:val="20"/>
          <w:lang w:eastAsia="en-AU"/>
        </w:rPr>
        <w:t xml:space="preserve"> State or Regional s</w:t>
      </w:r>
      <w:r w:rsidRPr="00ED69D1">
        <w:rPr>
          <w:rFonts w:ascii="Arial" w:eastAsiaTheme="minorEastAsia" w:hAnsi="Arial" w:cs="Arial"/>
          <w:sz w:val="20"/>
          <w:szCs w:val="20"/>
          <w:lang w:eastAsia="en-AU"/>
        </w:rPr>
        <w:t>ignificance, many of which are subject to legacy State Agreement Acts that limit the method of valuation to UV with restrictive formulae for the calculation of the valuation.</w:t>
      </w:r>
      <w:r w:rsidR="00121035">
        <w:rPr>
          <w:rFonts w:ascii="Arial" w:eastAsiaTheme="minorEastAsia" w:hAnsi="Arial" w:cs="Arial"/>
          <w:sz w:val="20"/>
          <w:szCs w:val="20"/>
          <w:lang w:eastAsia="en-AU"/>
        </w:rPr>
        <w:t xml:space="preserve"> At </w:t>
      </w:r>
      <w:r w:rsidR="00D87E1A">
        <w:rPr>
          <w:rFonts w:ascii="Arial" w:eastAsiaTheme="minorEastAsia" w:hAnsi="Arial" w:cs="Arial"/>
          <w:sz w:val="20"/>
          <w:szCs w:val="20"/>
          <w:lang w:eastAsia="en-AU"/>
        </w:rPr>
        <w:t>times,</w:t>
      </w:r>
      <w:r w:rsidR="00121035">
        <w:rPr>
          <w:rFonts w:ascii="Arial" w:eastAsiaTheme="minorEastAsia" w:hAnsi="Arial" w:cs="Arial"/>
          <w:sz w:val="20"/>
          <w:szCs w:val="20"/>
          <w:lang w:eastAsia="en-AU"/>
        </w:rPr>
        <w:t xml:space="preserve"> these methods of valuation are amended to market considerations that then increase the rate yield for the category.</w:t>
      </w:r>
      <w:r w:rsidRPr="00ED69D1">
        <w:rPr>
          <w:rFonts w:ascii="Arial" w:eastAsiaTheme="minorEastAsia" w:hAnsi="Arial" w:cs="Arial"/>
          <w:sz w:val="20"/>
          <w:szCs w:val="20"/>
          <w:lang w:eastAsia="en-AU"/>
        </w:rPr>
        <w:t xml:space="preserve"> </w:t>
      </w:r>
      <w:r w:rsidR="00593E7A" w:rsidRPr="00ED69D1">
        <w:rPr>
          <w:rFonts w:ascii="Arial" w:eastAsiaTheme="minorEastAsia" w:hAnsi="Arial" w:cs="Arial"/>
          <w:sz w:val="20"/>
          <w:szCs w:val="20"/>
          <w:lang w:eastAsia="en-AU"/>
        </w:rPr>
        <w:t xml:space="preserve">The higher differential rate for this category is proposed </w:t>
      </w:r>
      <w:r w:rsidR="00292D44" w:rsidRPr="00ED69D1">
        <w:rPr>
          <w:rFonts w:ascii="Arial" w:eastAsiaTheme="minorEastAsia" w:hAnsi="Arial" w:cs="Arial"/>
          <w:sz w:val="20"/>
          <w:szCs w:val="20"/>
          <w:lang w:eastAsia="en-AU"/>
        </w:rPr>
        <w:t>to</w:t>
      </w:r>
      <w:r w:rsidRPr="00ED69D1">
        <w:rPr>
          <w:rFonts w:ascii="Arial" w:eastAsiaTheme="minorEastAsia" w:hAnsi="Arial" w:cs="Arial"/>
          <w:sz w:val="20"/>
          <w:szCs w:val="20"/>
          <w:lang w:eastAsia="en-AU"/>
        </w:rPr>
        <w:t xml:space="preserve"> levy a somewhat commensurate rate comparative with their impact on the local community (i.e. heavy haulage vehicle movements, </w:t>
      </w:r>
      <w:r w:rsidR="004016F5">
        <w:rPr>
          <w:rFonts w:ascii="Arial" w:hAnsi="Arial" w:cs="Arial"/>
          <w:sz w:val="20"/>
          <w:szCs w:val="20"/>
        </w:rPr>
        <w:t>concentrated coach/vehicle movements on local roads,</w:t>
      </w:r>
      <w:r w:rsidR="006D42CF">
        <w:rPr>
          <w:rFonts w:ascii="Arial" w:eastAsiaTheme="minorEastAsia" w:hAnsi="Arial" w:cs="Arial"/>
          <w:sz w:val="20"/>
          <w:szCs w:val="20"/>
          <w:lang w:eastAsia="en-AU"/>
        </w:rPr>
        <w:t xml:space="preserve"> </w:t>
      </w:r>
      <w:r w:rsidRPr="00ED69D1">
        <w:rPr>
          <w:rFonts w:ascii="Arial" w:eastAsiaTheme="minorEastAsia" w:hAnsi="Arial" w:cs="Arial"/>
          <w:sz w:val="20"/>
          <w:szCs w:val="20"/>
          <w:lang w:eastAsia="en-AU"/>
        </w:rPr>
        <w:t>environmen</w:t>
      </w:r>
      <w:r w:rsidR="00593E7A" w:rsidRPr="00ED69D1">
        <w:rPr>
          <w:rFonts w:ascii="Arial" w:eastAsiaTheme="minorEastAsia" w:hAnsi="Arial" w:cs="Arial"/>
          <w:sz w:val="20"/>
          <w:szCs w:val="20"/>
          <w:lang w:eastAsia="en-AU"/>
        </w:rPr>
        <w:t xml:space="preserve">tal health, </w:t>
      </w:r>
      <w:r w:rsidR="004016F5">
        <w:rPr>
          <w:rFonts w:ascii="Arial" w:eastAsiaTheme="minorEastAsia" w:hAnsi="Arial" w:cs="Arial"/>
          <w:sz w:val="20"/>
          <w:szCs w:val="20"/>
          <w:lang w:eastAsia="en-AU"/>
        </w:rPr>
        <w:t xml:space="preserve">and </w:t>
      </w:r>
      <w:r w:rsidR="00593E7A" w:rsidRPr="00ED69D1">
        <w:rPr>
          <w:rFonts w:ascii="Arial" w:eastAsiaTheme="minorEastAsia" w:hAnsi="Arial" w:cs="Arial"/>
          <w:sz w:val="20"/>
          <w:szCs w:val="20"/>
          <w:lang w:eastAsia="en-AU"/>
        </w:rPr>
        <w:t>strategic planning).</w:t>
      </w:r>
    </w:p>
    <w:p w14:paraId="2B81A3DE" w14:textId="77777777" w:rsidR="00593E7A" w:rsidRPr="00ED69D1" w:rsidRDefault="00593E7A" w:rsidP="003E4A91">
      <w:pPr>
        <w:spacing w:after="0" w:line="240" w:lineRule="auto"/>
        <w:jc w:val="both"/>
        <w:rPr>
          <w:rFonts w:ascii="Arial" w:eastAsiaTheme="minorEastAsia" w:hAnsi="Arial" w:cs="Arial"/>
          <w:sz w:val="20"/>
          <w:szCs w:val="20"/>
          <w:lang w:eastAsia="en-AU"/>
        </w:rPr>
      </w:pPr>
    </w:p>
    <w:p w14:paraId="74156868" w14:textId="4BA33989" w:rsidR="00A21730" w:rsidRDefault="009B134A" w:rsidP="003E4A91">
      <w:pPr>
        <w:spacing w:after="0" w:line="240" w:lineRule="auto"/>
        <w:jc w:val="both"/>
        <w:rPr>
          <w:rFonts w:ascii="Arial" w:eastAsiaTheme="minorEastAsia" w:hAnsi="Arial" w:cs="Arial"/>
          <w:sz w:val="20"/>
          <w:szCs w:val="20"/>
          <w:lang w:eastAsia="en-AU"/>
        </w:rPr>
      </w:pPr>
      <w:r>
        <w:rPr>
          <w:rFonts w:ascii="Arial" w:eastAsiaTheme="minorEastAsia" w:hAnsi="Arial" w:cs="Arial"/>
          <w:sz w:val="20"/>
          <w:szCs w:val="20"/>
          <w:lang w:eastAsia="en-AU"/>
        </w:rPr>
        <w:t>T</w:t>
      </w:r>
      <w:r w:rsidR="00EF175A" w:rsidRPr="00ED69D1">
        <w:rPr>
          <w:rFonts w:ascii="Arial" w:eastAsiaTheme="minorEastAsia" w:hAnsi="Arial" w:cs="Arial"/>
          <w:sz w:val="20"/>
          <w:szCs w:val="20"/>
          <w:lang w:eastAsia="en-AU"/>
        </w:rPr>
        <w:t xml:space="preserve">his category </w:t>
      </w:r>
      <w:r>
        <w:rPr>
          <w:rFonts w:ascii="Arial" w:eastAsiaTheme="minorEastAsia" w:hAnsi="Arial" w:cs="Arial"/>
          <w:sz w:val="20"/>
          <w:szCs w:val="20"/>
          <w:lang w:eastAsia="en-AU"/>
        </w:rPr>
        <w:t>has a</w:t>
      </w:r>
      <w:r w:rsidR="00505774">
        <w:rPr>
          <w:rFonts w:ascii="Arial" w:eastAsiaTheme="minorEastAsia" w:hAnsi="Arial" w:cs="Arial"/>
          <w:sz w:val="20"/>
          <w:szCs w:val="20"/>
          <w:lang w:eastAsia="en-AU"/>
        </w:rPr>
        <w:t>n</w:t>
      </w:r>
      <w:r>
        <w:rPr>
          <w:rFonts w:ascii="Arial" w:eastAsiaTheme="minorEastAsia" w:hAnsi="Arial" w:cs="Arial"/>
          <w:sz w:val="20"/>
          <w:szCs w:val="20"/>
          <w:lang w:eastAsia="en-AU"/>
        </w:rPr>
        <w:t xml:space="preserve"> </w:t>
      </w:r>
      <w:r w:rsidR="00505774">
        <w:rPr>
          <w:rFonts w:ascii="Arial" w:eastAsiaTheme="minorEastAsia" w:hAnsi="Arial" w:cs="Arial"/>
          <w:sz w:val="20"/>
          <w:szCs w:val="20"/>
          <w:lang w:eastAsia="en-AU"/>
        </w:rPr>
        <w:t>increase</w:t>
      </w:r>
      <w:r>
        <w:rPr>
          <w:rFonts w:ascii="Arial" w:eastAsiaTheme="minorEastAsia" w:hAnsi="Arial" w:cs="Arial"/>
          <w:sz w:val="20"/>
          <w:szCs w:val="20"/>
          <w:lang w:eastAsia="en-AU"/>
        </w:rPr>
        <w:t xml:space="preserve"> </w:t>
      </w:r>
      <w:r w:rsidR="00EF175A" w:rsidRPr="00ED69D1">
        <w:rPr>
          <w:rFonts w:ascii="Arial" w:eastAsiaTheme="minorEastAsia" w:hAnsi="Arial" w:cs="Arial"/>
          <w:sz w:val="20"/>
          <w:szCs w:val="20"/>
          <w:lang w:eastAsia="en-AU"/>
        </w:rPr>
        <w:t>to the average rate for UV Strategic Industry properties of</w:t>
      </w:r>
      <w:r w:rsidR="00575B51" w:rsidRPr="00ED69D1">
        <w:rPr>
          <w:rFonts w:ascii="Arial" w:eastAsiaTheme="minorEastAsia" w:hAnsi="Arial" w:cs="Arial"/>
          <w:sz w:val="20"/>
          <w:szCs w:val="20"/>
          <w:lang w:eastAsia="en-AU"/>
        </w:rPr>
        <w:t xml:space="preserve"> </w:t>
      </w:r>
      <w:r w:rsidR="002140B2">
        <w:rPr>
          <w:rFonts w:ascii="Arial" w:eastAsiaTheme="minorEastAsia" w:hAnsi="Arial" w:cs="Arial"/>
          <w:sz w:val="20"/>
          <w:szCs w:val="20"/>
          <w:lang w:eastAsia="en-AU"/>
        </w:rPr>
        <w:t>65</w:t>
      </w:r>
      <w:r w:rsidR="00575B51" w:rsidRPr="00ED69D1">
        <w:rPr>
          <w:rFonts w:ascii="Arial" w:eastAsiaTheme="minorEastAsia" w:hAnsi="Arial" w:cs="Arial"/>
          <w:sz w:val="20"/>
          <w:szCs w:val="20"/>
          <w:lang w:eastAsia="en-AU"/>
        </w:rPr>
        <w:t>%</w:t>
      </w:r>
      <w:r w:rsidR="00A77017">
        <w:rPr>
          <w:rFonts w:ascii="Arial" w:eastAsiaTheme="minorEastAsia" w:hAnsi="Arial" w:cs="Arial"/>
          <w:sz w:val="20"/>
          <w:szCs w:val="20"/>
          <w:lang w:eastAsia="en-AU"/>
        </w:rPr>
        <w:t xml:space="preserve"> due to the</w:t>
      </w:r>
      <w:r w:rsidR="00337219">
        <w:rPr>
          <w:rFonts w:ascii="Arial" w:eastAsiaTheme="minorEastAsia" w:hAnsi="Arial" w:cs="Arial"/>
          <w:sz w:val="20"/>
          <w:szCs w:val="20"/>
          <w:lang w:eastAsia="en-AU"/>
        </w:rPr>
        <w:t xml:space="preserve"> </w:t>
      </w:r>
      <w:r w:rsidR="00121035">
        <w:rPr>
          <w:rFonts w:ascii="Arial" w:eastAsiaTheme="minorEastAsia" w:hAnsi="Arial" w:cs="Arial"/>
          <w:sz w:val="20"/>
          <w:szCs w:val="20"/>
          <w:lang w:eastAsia="en-AU"/>
        </w:rPr>
        <w:t>additional yield</w:t>
      </w:r>
      <w:r w:rsidR="00931D60">
        <w:rPr>
          <w:rFonts w:ascii="Arial" w:eastAsiaTheme="minorEastAsia" w:hAnsi="Arial" w:cs="Arial"/>
          <w:sz w:val="20"/>
          <w:szCs w:val="20"/>
          <w:lang w:eastAsia="en-AU"/>
        </w:rPr>
        <w:t xml:space="preserve"> from the </w:t>
      </w:r>
      <w:r w:rsidR="00630101">
        <w:rPr>
          <w:rFonts w:ascii="Arial" w:eastAsiaTheme="minorEastAsia" w:hAnsi="Arial" w:cs="Arial"/>
          <w:sz w:val="20"/>
          <w:szCs w:val="20"/>
          <w:lang w:eastAsia="en-AU"/>
        </w:rPr>
        <w:t xml:space="preserve">State </w:t>
      </w:r>
      <w:r w:rsidR="00337219">
        <w:rPr>
          <w:rFonts w:ascii="Arial" w:eastAsiaTheme="minorEastAsia" w:hAnsi="Arial" w:cs="Arial"/>
          <w:sz w:val="20"/>
          <w:szCs w:val="20"/>
          <w:lang w:eastAsia="en-AU"/>
        </w:rPr>
        <w:t>amend</w:t>
      </w:r>
      <w:r w:rsidR="00630101">
        <w:rPr>
          <w:rFonts w:ascii="Arial" w:eastAsiaTheme="minorEastAsia" w:hAnsi="Arial" w:cs="Arial"/>
          <w:sz w:val="20"/>
          <w:szCs w:val="20"/>
          <w:lang w:eastAsia="en-AU"/>
        </w:rPr>
        <w:t>ing</w:t>
      </w:r>
      <w:r w:rsidR="00337219">
        <w:rPr>
          <w:rFonts w:ascii="Arial" w:eastAsiaTheme="minorEastAsia" w:hAnsi="Arial" w:cs="Arial"/>
          <w:sz w:val="20"/>
          <w:szCs w:val="20"/>
          <w:lang w:eastAsia="en-AU"/>
        </w:rPr>
        <w:t xml:space="preserve"> </w:t>
      </w:r>
      <w:r w:rsidR="00630101">
        <w:rPr>
          <w:rFonts w:ascii="Arial" w:eastAsiaTheme="minorEastAsia" w:hAnsi="Arial" w:cs="Arial"/>
          <w:sz w:val="20"/>
          <w:szCs w:val="20"/>
          <w:lang w:eastAsia="en-AU"/>
        </w:rPr>
        <w:t>the</w:t>
      </w:r>
      <w:r w:rsidR="00337219">
        <w:rPr>
          <w:rFonts w:ascii="Arial" w:eastAsiaTheme="minorEastAsia" w:hAnsi="Arial" w:cs="Arial"/>
          <w:sz w:val="20"/>
          <w:szCs w:val="20"/>
          <w:lang w:eastAsia="en-AU"/>
        </w:rPr>
        <w:t xml:space="preserve"> lease consideration</w:t>
      </w:r>
      <w:r w:rsidR="00630101">
        <w:rPr>
          <w:rFonts w:ascii="Arial" w:eastAsiaTheme="minorEastAsia" w:hAnsi="Arial" w:cs="Arial"/>
          <w:sz w:val="20"/>
          <w:szCs w:val="20"/>
          <w:lang w:eastAsia="en-AU"/>
        </w:rPr>
        <w:t>s</w:t>
      </w:r>
      <w:r w:rsidR="00337219">
        <w:rPr>
          <w:rFonts w:ascii="Arial" w:eastAsiaTheme="minorEastAsia" w:hAnsi="Arial" w:cs="Arial"/>
          <w:sz w:val="20"/>
          <w:szCs w:val="20"/>
          <w:lang w:eastAsia="en-AU"/>
        </w:rPr>
        <w:t xml:space="preserve"> to </w:t>
      </w:r>
      <w:r w:rsidR="00931D60">
        <w:rPr>
          <w:rFonts w:ascii="Arial" w:eastAsiaTheme="minorEastAsia" w:hAnsi="Arial" w:cs="Arial"/>
          <w:sz w:val="20"/>
          <w:szCs w:val="20"/>
          <w:lang w:eastAsia="en-AU"/>
        </w:rPr>
        <w:t>a significant landholding</w:t>
      </w:r>
      <w:r w:rsidR="00D87E1A">
        <w:rPr>
          <w:rFonts w:ascii="Arial" w:eastAsiaTheme="minorEastAsia" w:hAnsi="Arial" w:cs="Arial"/>
          <w:sz w:val="20"/>
          <w:szCs w:val="20"/>
          <w:lang w:eastAsia="en-AU"/>
        </w:rPr>
        <w:t xml:space="preserve">. </w:t>
      </w:r>
      <w:r w:rsidR="00D17071">
        <w:rPr>
          <w:rFonts w:ascii="Arial" w:eastAsiaTheme="minorEastAsia" w:hAnsi="Arial" w:cs="Arial"/>
          <w:sz w:val="20"/>
          <w:szCs w:val="20"/>
          <w:lang w:eastAsia="en-AU"/>
        </w:rPr>
        <w:t>W</w:t>
      </w:r>
      <w:r w:rsidR="00581845">
        <w:rPr>
          <w:rFonts w:ascii="Arial" w:eastAsiaTheme="minorEastAsia" w:hAnsi="Arial" w:cs="Arial"/>
          <w:sz w:val="20"/>
          <w:szCs w:val="20"/>
          <w:lang w:eastAsia="en-AU"/>
        </w:rPr>
        <w:t xml:space="preserve">ith </w:t>
      </w:r>
      <w:r w:rsidR="00D17071">
        <w:rPr>
          <w:rFonts w:ascii="Arial" w:eastAsiaTheme="minorEastAsia" w:hAnsi="Arial" w:cs="Arial"/>
          <w:sz w:val="20"/>
          <w:szCs w:val="20"/>
          <w:lang w:eastAsia="en-AU"/>
        </w:rPr>
        <w:t>this change, an</w:t>
      </w:r>
      <w:r w:rsidR="00593E7A" w:rsidRPr="00ED69D1">
        <w:rPr>
          <w:rFonts w:ascii="Arial" w:eastAsiaTheme="minorEastAsia" w:hAnsi="Arial" w:cs="Arial"/>
          <w:sz w:val="20"/>
          <w:szCs w:val="20"/>
          <w:lang w:eastAsia="en-AU"/>
        </w:rPr>
        <w:t xml:space="preserve"> increase </w:t>
      </w:r>
      <w:r w:rsidR="00BE1BEC" w:rsidRPr="00ED69D1">
        <w:rPr>
          <w:rFonts w:ascii="Arial" w:eastAsiaTheme="minorEastAsia" w:hAnsi="Arial" w:cs="Arial"/>
          <w:sz w:val="20"/>
          <w:szCs w:val="20"/>
          <w:lang w:eastAsia="en-AU"/>
        </w:rPr>
        <w:t xml:space="preserve">in the rate-in-the-dollar </w:t>
      </w:r>
      <w:r w:rsidR="00D17071">
        <w:rPr>
          <w:rFonts w:ascii="Arial" w:eastAsiaTheme="minorEastAsia" w:hAnsi="Arial" w:cs="Arial"/>
          <w:sz w:val="20"/>
          <w:szCs w:val="20"/>
          <w:lang w:eastAsia="en-AU"/>
        </w:rPr>
        <w:t>is proposed</w:t>
      </w:r>
      <w:r w:rsidR="000F005D" w:rsidRPr="00ED69D1">
        <w:rPr>
          <w:rFonts w:ascii="Arial" w:eastAsiaTheme="minorEastAsia" w:hAnsi="Arial" w:cs="Arial"/>
          <w:sz w:val="20"/>
          <w:szCs w:val="20"/>
          <w:lang w:eastAsia="en-AU"/>
        </w:rPr>
        <w:t xml:space="preserve"> </w:t>
      </w:r>
      <w:r w:rsidR="00BE1BEC" w:rsidRPr="00ED69D1">
        <w:rPr>
          <w:rFonts w:ascii="Arial" w:eastAsiaTheme="minorEastAsia" w:hAnsi="Arial" w:cs="Arial"/>
          <w:sz w:val="20"/>
          <w:szCs w:val="20"/>
          <w:lang w:eastAsia="en-AU"/>
        </w:rPr>
        <w:t xml:space="preserve">for the </w:t>
      </w:r>
      <w:r w:rsidR="00C01E0B">
        <w:rPr>
          <w:rFonts w:ascii="Arial" w:eastAsiaTheme="minorEastAsia" w:hAnsi="Arial" w:cs="Arial"/>
          <w:sz w:val="20"/>
          <w:szCs w:val="20"/>
          <w:lang w:eastAsia="en-AU"/>
        </w:rPr>
        <w:t>202</w:t>
      </w:r>
      <w:r w:rsidR="00F8644E">
        <w:rPr>
          <w:rFonts w:ascii="Arial" w:eastAsiaTheme="minorEastAsia" w:hAnsi="Arial" w:cs="Arial"/>
          <w:sz w:val="20"/>
          <w:szCs w:val="20"/>
          <w:lang w:eastAsia="en-AU"/>
        </w:rPr>
        <w:t>5</w:t>
      </w:r>
      <w:r w:rsidR="00C01E0B">
        <w:rPr>
          <w:rFonts w:ascii="Arial" w:eastAsiaTheme="minorEastAsia" w:hAnsi="Arial" w:cs="Arial"/>
          <w:sz w:val="20"/>
          <w:szCs w:val="20"/>
          <w:lang w:eastAsia="en-AU"/>
        </w:rPr>
        <w:t>/2</w:t>
      </w:r>
      <w:r w:rsidR="00F8644E">
        <w:rPr>
          <w:rFonts w:ascii="Arial" w:eastAsiaTheme="minorEastAsia" w:hAnsi="Arial" w:cs="Arial"/>
          <w:sz w:val="20"/>
          <w:szCs w:val="20"/>
          <w:lang w:eastAsia="en-AU"/>
        </w:rPr>
        <w:t>6</w:t>
      </w:r>
      <w:r w:rsidR="00EF175A" w:rsidRPr="00ED69D1">
        <w:rPr>
          <w:rFonts w:ascii="Arial" w:eastAsiaTheme="minorEastAsia" w:hAnsi="Arial" w:cs="Arial"/>
          <w:sz w:val="20"/>
          <w:szCs w:val="20"/>
          <w:lang w:eastAsia="en-AU"/>
        </w:rPr>
        <w:t xml:space="preserve"> financial year</w:t>
      </w:r>
      <w:r w:rsidR="00505774">
        <w:rPr>
          <w:rFonts w:ascii="Arial" w:eastAsiaTheme="minorEastAsia" w:hAnsi="Arial" w:cs="Arial"/>
          <w:sz w:val="20"/>
          <w:szCs w:val="20"/>
          <w:lang w:eastAsia="en-AU"/>
        </w:rPr>
        <w:t xml:space="preserve">. </w:t>
      </w:r>
      <w:r w:rsidR="00A21730">
        <w:rPr>
          <w:rFonts w:ascii="Arial" w:eastAsiaTheme="minorEastAsia" w:hAnsi="Arial" w:cs="Arial"/>
          <w:sz w:val="20"/>
          <w:szCs w:val="20"/>
          <w:lang w:eastAsia="en-AU"/>
        </w:rPr>
        <w:t>The</w:t>
      </w:r>
      <w:r w:rsidR="0034026D">
        <w:rPr>
          <w:rFonts w:ascii="Arial" w:eastAsiaTheme="minorEastAsia" w:hAnsi="Arial" w:cs="Arial"/>
          <w:sz w:val="20"/>
          <w:szCs w:val="20"/>
          <w:lang w:eastAsia="en-AU"/>
        </w:rPr>
        <w:t xml:space="preserve"> </w:t>
      </w:r>
      <w:r w:rsidR="005E3D87">
        <w:rPr>
          <w:rFonts w:ascii="Arial" w:eastAsiaTheme="minorEastAsia" w:hAnsi="Arial" w:cs="Arial"/>
          <w:sz w:val="20"/>
          <w:szCs w:val="20"/>
          <w:lang w:eastAsia="en-AU"/>
        </w:rPr>
        <w:t>increase</w:t>
      </w:r>
      <w:r w:rsidR="0034026D">
        <w:rPr>
          <w:rFonts w:ascii="Arial" w:eastAsiaTheme="minorEastAsia" w:hAnsi="Arial" w:cs="Arial"/>
          <w:sz w:val="20"/>
          <w:szCs w:val="20"/>
          <w:lang w:eastAsia="en-AU"/>
        </w:rPr>
        <w:t xml:space="preserve"> from the </w:t>
      </w:r>
      <w:r w:rsidR="00931D60">
        <w:rPr>
          <w:rFonts w:ascii="Arial" w:eastAsiaTheme="minorEastAsia" w:hAnsi="Arial" w:cs="Arial"/>
          <w:sz w:val="20"/>
          <w:szCs w:val="20"/>
          <w:lang w:eastAsia="en-AU"/>
        </w:rPr>
        <w:t xml:space="preserve">new </w:t>
      </w:r>
      <w:r w:rsidR="0034026D">
        <w:rPr>
          <w:rFonts w:ascii="Arial" w:eastAsiaTheme="minorEastAsia" w:hAnsi="Arial" w:cs="Arial"/>
          <w:sz w:val="20"/>
          <w:szCs w:val="20"/>
          <w:lang w:eastAsia="en-AU"/>
        </w:rPr>
        <w:t xml:space="preserve">valuation will be quarantined in </w:t>
      </w:r>
      <w:r w:rsidR="005E3D87">
        <w:rPr>
          <w:rFonts w:ascii="Arial" w:eastAsiaTheme="minorEastAsia" w:hAnsi="Arial" w:cs="Arial"/>
          <w:sz w:val="20"/>
          <w:szCs w:val="20"/>
          <w:lang w:eastAsia="en-AU"/>
        </w:rPr>
        <w:t>the</w:t>
      </w:r>
      <w:r w:rsidR="0034026D">
        <w:rPr>
          <w:rFonts w:ascii="Arial" w:eastAsiaTheme="minorEastAsia" w:hAnsi="Arial" w:cs="Arial"/>
          <w:sz w:val="20"/>
          <w:szCs w:val="20"/>
          <w:lang w:eastAsia="en-AU"/>
        </w:rPr>
        <w:t xml:space="preserve"> Strategic Reserve</w:t>
      </w:r>
      <w:r w:rsidR="005E3D87">
        <w:rPr>
          <w:rFonts w:ascii="Arial" w:eastAsiaTheme="minorEastAsia" w:hAnsi="Arial" w:cs="Arial"/>
          <w:sz w:val="20"/>
          <w:szCs w:val="20"/>
          <w:lang w:eastAsia="en-AU"/>
        </w:rPr>
        <w:t>,</w:t>
      </w:r>
      <w:r w:rsidR="0034026D">
        <w:rPr>
          <w:rFonts w:ascii="Arial" w:eastAsiaTheme="minorEastAsia" w:hAnsi="Arial" w:cs="Arial"/>
          <w:sz w:val="20"/>
          <w:szCs w:val="20"/>
          <w:lang w:eastAsia="en-AU"/>
        </w:rPr>
        <w:t xml:space="preserve"> </w:t>
      </w:r>
      <w:r w:rsidR="005E3D87">
        <w:rPr>
          <w:rFonts w:ascii="Arial" w:eastAsiaTheme="minorEastAsia" w:hAnsi="Arial" w:cs="Arial"/>
          <w:sz w:val="20"/>
          <w:szCs w:val="20"/>
          <w:lang w:eastAsia="en-AU"/>
        </w:rPr>
        <w:t>pending the</w:t>
      </w:r>
      <w:r w:rsidR="00045BD5">
        <w:rPr>
          <w:rFonts w:ascii="Arial" w:eastAsiaTheme="minorEastAsia" w:hAnsi="Arial" w:cs="Arial"/>
          <w:sz w:val="20"/>
          <w:szCs w:val="20"/>
          <w:lang w:eastAsia="en-AU"/>
        </w:rPr>
        <w:t xml:space="preserve"> potential for objection</w:t>
      </w:r>
      <w:r w:rsidR="00A94954">
        <w:rPr>
          <w:rFonts w:ascii="Arial" w:eastAsiaTheme="minorEastAsia" w:hAnsi="Arial" w:cs="Arial"/>
          <w:sz w:val="20"/>
          <w:szCs w:val="20"/>
          <w:lang w:eastAsia="en-AU"/>
        </w:rPr>
        <w:t xml:space="preserve"> from the ratepayer.</w:t>
      </w:r>
    </w:p>
    <w:p w14:paraId="3921CE25" w14:textId="77777777" w:rsidR="00A21730" w:rsidRDefault="00A21730" w:rsidP="003E4A91">
      <w:pPr>
        <w:spacing w:after="0" w:line="240" w:lineRule="auto"/>
        <w:jc w:val="both"/>
        <w:rPr>
          <w:rFonts w:ascii="Arial" w:eastAsiaTheme="minorEastAsia" w:hAnsi="Arial" w:cs="Arial"/>
          <w:sz w:val="20"/>
          <w:szCs w:val="20"/>
          <w:lang w:eastAsia="en-AU"/>
        </w:rPr>
      </w:pPr>
    </w:p>
    <w:p w14:paraId="277844C8" w14:textId="17795042" w:rsidR="003E4A91" w:rsidRDefault="003E4A91" w:rsidP="003E4A91">
      <w:pPr>
        <w:spacing w:after="0" w:line="240" w:lineRule="auto"/>
        <w:jc w:val="both"/>
        <w:rPr>
          <w:rFonts w:ascii="Arial" w:eastAsiaTheme="minorEastAsia" w:hAnsi="Arial" w:cs="Arial"/>
          <w:sz w:val="20"/>
          <w:szCs w:val="20"/>
          <w:lang w:eastAsia="en-AU"/>
        </w:rPr>
      </w:pPr>
      <w:r w:rsidRPr="00ED69D1">
        <w:rPr>
          <w:rFonts w:ascii="Arial" w:eastAsiaTheme="minorEastAsia" w:hAnsi="Arial" w:cs="Arial"/>
          <w:sz w:val="20"/>
          <w:szCs w:val="20"/>
          <w:lang w:eastAsia="en-AU"/>
        </w:rPr>
        <w:t xml:space="preserve">The UV minimum rate of </w:t>
      </w:r>
      <w:r w:rsidRPr="00D17071">
        <w:rPr>
          <w:rFonts w:ascii="Arial" w:eastAsiaTheme="minorEastAsia" w:hAnsi="Arial" w:cs="Arial"/>
          <w:sz w:val="20"/>
          <w:szCs w:val="20"/>
          <w:lang w:eastAsia="en-AU"/>
        </w:rPr>
        <w:t>$</w:t>
      </w:r>
      <w:r w:rsidR="00F307D2" w:rsidRPr="00D17071">
        <w:rPr>
          <w:rFonts w:ascii="Arial" w:eastAsiaTheme="minorEastAsia" w:hAnsi="Arial" w:cs="Arial"/>
          <w:sz w:val="20"/>
          <w:szCs w:val="20"/>
          <w:lang w:eastAsia="en-AU"/>
        </w:rPr>
        <w:t>3</w:t>
      </w:r>
      <w:r w:rsidR="00505774" w:rsidRPr="00D17071">
        <w:rPr>
          <w:rFonts w:ascii="Arial" w:eastAsiaTheme="minorEastAsia" w:hAnsi="Arial" w:cs="Arial"/>
          <w:sz w:val="20"/>
          <w:szCs w:val="20"/>
          <w:lang w:eastAsia="en-AU"/>
        </w:rPr>
        <w:t>67</w:t>
      </w:r>
      <w:r w:rsidRPr="00ED69D1">
        <w:rPr>
          <w:rFonts w:ascii="Arial" w:eastAsiaTheme="minorEastAsia" w:hAnsi="Arial" w:cs="Arial"/>
          <w:sz w:val="20"/>
          <w:szCs w:val="20"/>
          <w:lang w:eastAsia="en-AU"/>
        </w:rPr>
        <w:t xml:space="preserve"> is to ensure that all ratepayers make a minimum contribution for basic services and infrastructure</w:t>
      </w:r>
      <w:r w:rsidR="00D87E1A" w:rsidRPr="00ED69D1">
        <w:rPr>
          <w:rFonts w:ascii="Arial" w:eastAsiaTheme="minorEastAsia" w:hAnsi="Arial" w:cs="Arial"/>
          <w:sz w:val="20"/>
          <w:szCs w:val="20"/>
          <w:lang w:eastAsia="en-AU"/>
        </w:rPr>
        <w:t>.</w:t>
      </w:r>
      <w:r w:rsidR="00D87E1A">
        <w:rPr>
          <w:rFonts w:ascii="Arial" w:eastAsiaTheme="minorEastAsia" w:hAnsi="Arial" w:cs="Arial"/>
          <w:sz w:val="20"/>
          <w:szCs w:val="20"/>
          <w:lang w:eastAsia="en-AU"/>
        </w:rPr>
        <w:t xml:space="preserve"> </w:t>
      </w:r>
    </w:p>
    <w:sectPr w:rsidR="003E4A91" w:rsidSect="00404B97">
      <w:footerReference w:type="default" r:id="rId14"/>
      <w:pgSz w:w="11906" w:h="16838" w:code="9"/>
      <w:pgMar w:top="1134" w:right="1440" w:bottom="130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BB513" w14:textId="77777777" w:rsidR="00D03358" w:rsidRDefault="00D03358" w:rsidP="007A632C">
      <w:pPr>
        <w:spacing w:after="0" w:line="240" w:lineRule="auto"/>
      </w:pPr>
      <w:r>
        <w:separator/>
      </w:r>
    </w:p>
  </w:endnote>
  <w:endnote w:type="continuationSeparator" w:id="0">
    <w:p w14:paraId="2BBA6FF6" w14:textId="77777777" w:rsidR="00D03358" w:rsidRDefault="00D03358" w:rsidP="007A632C">
      <w:pPr>
        <w:spacing w:after="0" w:line="240" w:lineRule="auto"/>
      </w:pPr>
      <w:r>
        <w:continuationSeparator/>
      </w:r>
    </w:p>
  </w:endnote>
  <w:endnote w:type="continuationNotice" w:id="1">
    <w:p w14:paraId="229A9EDE" w14:textId="77777777" w:rsidR="00D03358" w:rsidRDefault="00D033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30A16" w14:textId="77777777" w:rsidR="007A632C" w:rsidRPr="00C20DE6" w:rsidRDefault="003F15EE" w:rsidP="00C20DE6">
    <w:pPr>
      <w:pStyle w:val="Footer"/>
      <w:jc w:val="center"/>
      <w:rPr>
        <w:rFonts w:ascii="Arial" w:hAnsi="Arial" w:cs="Arial"/>
        <w:sz w:val="20"/>
        <w:szCs w:val="20"/>
      </w:rPr>
    </w:pPr>
    <w:r w:rsidRPr="00B175F0">
      <w:rPr>
        <w:rFonts w:ascii="Arial" w:hAnsi="Arial" w:cs="Arial"/>
        <w:sz w:val="20"/>
        <w:szCs w:val="20"/>
      </w:rPr>
      <w:t xml:space="preserve">Page </w:t>
    </w:r>
    <w:sdt>
      <w:sdtPr>
        <w:rPr>
          <w:rFonts w:ascii="Arial" w:hAnsi="Arial" w:cs="Arial"/>
          <w:sz w:val="20"/>
          <w:szCs w:val="20"/>
        </w:rPr>
        <w:id w:val="177007963"/>
        <w:docPartObj>
          <w:docPartGallery w:val="Page Numbers (Bottom of Page)"/>
          <w:docPartUnique/>
        </w:docPartObj>
      </w:sdtPr>
      <w:sdtEndPr>
        <w:rPr>
          <w:noProof/>
        </w:rPr>
      </w:sdtEndPr>
      <w:sdtContent>
        <w:r w:rsidRPr="00B175F0">
          <w:rPr>
            <w:rFonts w:ascii="Arial" w:hAnsi="Arial" w:cs="Arial"/>
            <w:sz w:val="20"/>
            <w:szCs w:val="20"/>
          </w:rPr>
          <w:fldChar w:fldCharType="begin"/>
        </w:r>
        <w:r w:rsidRPr="00B175F0">
          <w:rPr>
            <w:rFonts w:ascii="Arial" w:hAnsi="Arial" w:cs="Arial"/>
            <w:sz w:val="20"/>
            <w:szCs w:val="20"/>
          </w:rPr>
          <w:instrText xml:space="preserve"> PAGE   \* MERGEFORMAT </w:instrText>
        </w:r>
        <w:r w:rsidRPr="00B175F0">
          <w:rPr>
            <w:rFonts w:ascii="Arial" w:hAnsi="Arial" w:cs="Arial"/>
            <w:sz w:val="20"/>
            <w:szCs w:val="20"/>
          </w:rPr>
          <w:fldChar w:fldCharType="separate"/>
        </w:r>
        <w:r w:rsidR="001E31A3">
          <w:rPr>
            <w:rFonts w:ascii="Arial" w:hAnsi="Arial" w:cs="Arial"/>
            <w:noProof/>
            <w:sz w:val="20"/>
            <w:szCs w:val="20"/>
          </w:rPr>
          <w:t>6</w:t>
        </w:r>
        <w:r w:rsidRPr="00B175F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F781F" w14:textId="77777777" w:rsidR="00D03358" w:rsidRDefault="00D03358" w:rsidP="007A632C">
      <w:pPr>
        <w:spacing w:after="0" w:line="240" w:lineRule="auto"/>
      </w:pPr>
      <w:r>
        <w:separator/>
      </w:r>
    </w:p>
  </w:footnote>
  <w:footnote w:type="continuationSeparator" w:id="0">
    <w:p w14:paraId="1EC5A573" w14:textId="77777777" w:rsidR="00D03358" w:rsidRDefault="00D03358" w:rsidP="007A632C">
      <w:pPr>
        <w:spacing w:after="0" w:line="240" w:lineRule="auto"/>
      </w:pPr>
      <w:r>
        <w:continuationSeparator/>
      </w:r>
    </w:p>
  </w:footnote>
  <w:footnote w:type="continuationNotice" w:id="1">
    <w:p w14:paraId="1572CF29" w14:textId="77777777" w:rsidR="00D03358" w:rsidRDefault="00D033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6C0B"/>
    <w:multiLevelType w:val="hybridMultilevel"/>
    <w:tmpl w:val="60E82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F34F9"/>
    <w:multiLevelType w:val="hybridMultilevel"/>
    <w:tmpl w:val="C56E9372"/>
    <w:lvl w:ilvl="0" w:tplc="AB34904E">
      <w:start w:val="1"/>
      <w:numFmt w:val="bullet"/>
      <w:lvlText w:val=""/>
      <w:lvlJc w:val="left"/>
      <w:pPr>
        <w:ind w:left="363" w:hanging="360"/>
      </w:pPr>
      <w:rPr>
        <w:rFonts w:ascii="Symbol" w:eastAsia="Times New Roman" w:hAnsi="Symbol" w:cs="Aria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 w15:restartNumberingAfterBreak="0">
    <w:nsid w:val="0E5F051E"/>
    <w:multiLevelType w:val="hybridMultilevel"/>
    <w:tmpl w:val="1F12627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 w15:restartNumberingAfterBreak="0">
    <w:nsid w:val="12475703"/>
    <w:multiLevelType w:val="hybridMultilevel"/>
    <w:tmpl w:val="CAE06A2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4E12E47"/>
    <w:multiLevelType w:val="hybridMultilevel"/>
    <w:tmpl w:val="35C8BF3E"/>
    <w:lvl w:ilvl="0" w:tplc="EB2A5C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60354B"/>
    <w:multiLevelType w:val="hybridMultilevel"/>
    <w:tmpl w:val="63E81DD4"/>
    <w:lvl w:ilvl="0" w:tplc="EB2A5C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D11ED1"/>
    <w:multiLevelType w:val="multilevel"/>
    <w:tmpl w:val="03D8CFEE"/>
    <w:lvl w:ilvl="0">
      <w:start w:val="1"/>
      <w:numFmt w:val="decimal"/>
      <w:pStyle w:val="Heading1"/>
      <w:lvlText w:val="%1"/>
      <w:lvlJc w:val="left"/>
      <w:pPr>
        <w:tabs>
          <w:tab w:val="num" w:pos="680"/>
        </w:tabs>
        <w:ind w:left="680" w:hanging="680"/>
      </w:pPr>
      <w:rPr>
        <w:rFonts w:ascii="Arial Black" w:hAnsi="Arial Black" w:hint="default"/>
        <w:b w:val="0"/>
        <w:i w:val="0"/>
        <w:sz w:val="24"/>
      </w:rPr>
    </w:lvl>
    <w:lvl w:ilvl="1">
      <w:start w:val="1"/>
      <w:numFmt w:val="decimal"/>
      <w:pStyle w:val="Heading2"/>
      <w:lvlText w:val="%1.%2"/>
      <w:lvlJc w:val="left"/>
      <w:pPr>
        <w:tabs>
          <w:tab w:val="num" w:pos="680"/>
        </w:tabs>
        <w:ind w:left="680" w:hanging="680"/>
      </w:pPr>
      <w:rPr>
        <w:rFonts w:hint="default"/>
        <w:b/>
        <w:color w:val="auto"/>
      </w:rPr>
    </w:lvl>
    <w:lvl w:ilvl="2">
      <w:start w:val="1"/>
      <w:numFmt w:val="decimal"/>
      <w:lvlText w:val="%1.%2.%3"/>
      <w:lvlJc w:val="left"/>
      <w:pPr>
        <w:tabs>
          <w:tab w:val="num" w:pos="720"/>
        </w:tabs>
        <w:ind w:left="720" w:hanging="720"/>
      </w:pPr>
      <w:rPr>
        <w:rFonts w:ascii="Arial" w:hAnsi="Arial" w:hint="default"/>
        <w:b/>
        <w:i w:val="0"/>
        <w:sz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1EB656B1"/>
    <w:multiLevelType w:val="hybridMultilevel"/>
    <w:tmpl w:val="21B0B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9568E8"/>
    <w:multiLevelType w:val="hybridMultilevel"/>
    <w:tmpl w:val="9FF29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464125"/>
    <w:multiLevelType w:val="hybridMultilevel"/>
    <w:tmpl w:val="E70A2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5D7469"/>
    <w:multiLevelType w:val="hybridMultilevel"/>
    <w:tmpl w:val="F0663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0A412D"/>
    <w:multiLevelType w:val="hybridMultilevel"/>
    <w:tmpl w:val="2BC233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D132500"/>
    <w:multiLevelType w:val="hybridMultilevel"/>
    <w:tmpl w:val="B62C49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BD06B5"/>
    <w:multiLevelType w:val="hybridMultilevel"/>
    <w:tmpl w:val="0D723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E3615E"/>
    <w:multiLevelType w:val="hybridMultilevel"/>
    <w:tmpl w:val="4A3C6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0B5A1C"/>
    <w:multiLevelType w:val="hybridMultilevel"/>
    <w:tmpl w:val="948EB59A"/>
    <w:lvl w:ilvl="0" w:tplc="EA1CCB58">
      <w:start w:val="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700F8C"/>
    <w:multiLevelType w:val="hybridMultilevel"/>
    <w:tmpl w:val="4704EE0A"/>
    <w:lvl w:ilvl="0" w:tplc="54C6B1AE">
      <w:start w:val="1"/>
      <w:numFmt w:val="bullet"/>
      <w:lvlText w:val="-"/>
      <w:lvlJc w:val="left"/>
      <w:pPr>
        <w:ind w:left="360" w:hanging="360"/>
      </w:pPr>
      <w:rPr>
        <w:rFonts w:ascii="Agency FB" w:hAnsi="Agency FB"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7EC6F0E"/>
    <w:multiLevelType w:val="hybridMultilevel"/>
    <w:tmpl w:val="651416F6"/>
    <w:lvl w:ilvl="0" w:tplc="5D1C6888">
      <w:start w:val="1"/>
      <w:numFmt w:val="bullet"/>
      <w:lvlText w:val="•"/>
      <w:lvlJc w:val="left"/>
      <w:pPr>
        <w:tabs>
          <w:tab w:val="num" w:pos="720"/>
        </w:tabs>
        <w:ind w:left="720" w:hanging="360"/>
      </w:pPr>
      <w:rPr>
        <w:rFonts w:ascii="Arial" w:hAnsi="Arial" w:cs="Times New Roman" w:hint="default"/>
      </w:rPr>
    </w:lvl>
    <w:lvl w:ilvl="1" w:tplc="CB867A66">
      <w:start w:val="1"/>
      <w:numFmt w:val="bullet"/>
      <w:lvlText w:val="•"/>
      <w:lvlJc w:val="left"/>
      <w:pPr>
        <w:tabs>
          <w:tab w:val="num" w:pos="1440"/>
        </w:tabs>
        <w:ind w:left="1440" w:hanging="360"/>
      </w:pPr>
      <w:rPr>
        <w:rFonts w:ascii="Arial" w:hAnsi="Arial" w:cs="Times New Roman" w:hint="default"/>
      </w:rPr>
    </w:lvl>
    <w:lvl w:ilvl="2" w:tplc="38325E88">
      <w:start w:val="1"/>
      <w:numFmt w:val="bullet"/>
      <w:lvlText w:val="•"/>
      <w:lvlJc w:val="left"/>
      <w:pPr>
        <w:tabs>
          <w:tab w:val="num" w:pos="2160"/>
        </w:tabs>
        <w:ind w:left="2160" w:hanging="360"/>
      </w:pPr>
      <w:rPr>
        <w:rFonts w:ascii="Arial" w:hAnsi="Arial" w:cs="Times New Roman" w:hint="default"/>
      </w:rPr>
    </w:lvl>
    <w:lvl w:ilvl="3" w:tplc="1C401FC6">
      <w:start w:val="1"/>
      <w:numFmt w:val="bullet"/>
      <w:lvlText w:val="•"/>
      <w:lvlJc w:val="left"/>
      <w:pPr>
        <w:tabs>
          <w:tab w:val="num" w:pos="2880"/>
        </w:tabs>
        <w:ind w:left="2880" w:hanging="360"/>
      </w:pPr>
      <w:rPr>
        <w:rFonts w:ascii="Arial" w:hAnsi="Arial" w:cs="Times New Roman" w:hint="default"/>
      </w:rPr>
    </w:lvl>
    <w:lvl w:ilvl="4" w:tplc="70143084">
      <w:start w:val="1"/>
      <w:numFmt w:val="bullet"/>
      <w:lvlText w:val="•"/>
      <w:lvlJc w:val="left"/>
      <w:pPr>
        <w:tabs>
          <w:tab w:val="num" w:pos="3600"/>
        </w:tabs>
        <w:ind w:left="3600" w:hanging="360"/>
      </w:pPr>
      <w:rPr>
        <w:rFonts w:ascii="Arial" w:hAnsi="Arial" w:cs="Times New Roman" w:hint="default"/>
      </w:rPr>
    </w:lvl>
    <w:lvl w:ilvl="5" w:tplc="C538A296">
      <w:start w:val="1"/>
      <w:numFmt w:val="bullet"/>
      <w:lvlText w:val="•"/>
      <w:lvlJc w:val="left"/>
      <w:pPr>
        <w:tabs>
          <w:tab w:val="num" w:pos="4320"/>
        </w:tabs>
        <w:ind w:left="4320" w:hanging="360"/>
      </w:pPr>
      <w:rPr>
        <w:rFonts w:ascii="Arial" w:hAnsi="Arial" w:cs="Times New Roman" w:hint="default"/>
      </w:rPr>
    </w:lvl>
    <w:lvl w:ilvl="6" w:tplc="CDF0265A">
      <w:start w:val="1"/>
      <w:numFmt w:val="bullet"/>
      <w:lvlText w:val="•"/>
      <w:lvlJc w:val="left"/>
      <w:pPr>
        <w:tabs>
          <w:tab w:val="num" w:pos="5040"/>
        </w:tabs>
        <w:ind w:left="5040" w:hanging="360"/>
      </w:pPr>
      <w:rPr>
        <w:rFonts w:ascii="Arial" w:hAnsi="Arial" w:cs="Times New Roman" w:hint="default"/>
      </w:rPr>
    </w:lvl>
    <w:lvl w:ilvl="7" w:tplc="9612CFA8">
      <w:start w:val="1"/>
      <w:numFmt w:val="bullet"/>
      <w:lvlText w:val="•"/>
      <w:lvlJc w:val="left"/>
      <w:pPr>
        <w:tabs>
          <w:tab w:val="num" w:pos="5760"/>
        </w:tabs>
        <w:ind w:left="5760" w:hanging="360"/>
      </w:pPr>
      <w:rPr>
        <w:rFonts w:ascii="Arial" w:hAnsi="Arial" w:cs="Times New Roman" w:hint="default"/>
      </w:rPr>
    </w:lvl>
    <w:lvl w:ilvl="8" w:tplc="1BA2617C">
      <w:start w:val="1"/>
      <w:numFmt w:val="bullet"/>
      <w:lvlText w:val="•"/>
      <w:lvlJc w:val="left"/>
      <w:pPr>
        <w:tabs>
          <w:tab w:val="num" w:pos="6480"/>
        </w:tabs>
        <w:ind w:left="6480" w:hanging="360"/>
      </w:pPr>
      <w:rPr>
        <w:rFonts w:ascii="Arial" w:hAnsi="Arial" w:cs="Times New Roman" w:hint="default"/>
      </w:rPr>
    </w:lvl>
  </w:abstractNum>
  <w:num w:numId="1" w16cid:durableId="1839418868">
    <w:abstractNumId w:val="10"/>
  </w:num>
  <w:num w:numId="2" w16cid:durableId="1790928632">
    <w:abstractNumId w:val="12"/>
  </w:num>
  <w:num w:numId="3" w16cid:durableId="1044796057">
    <w:abstractNumId w:val="9"/>
  </w:num>
  <w:num w:numId="4" w16cid:durableId="1734040440">
    <w:abstractNumId w:val="11"/>
  </w:num>
  <w:num w:numId="5" w16cid:durableId="1462960217">
    <w:abstractNumId w:val="13"/>
  </w:num>
  <w:num w:numId="6" w16cid:durableId="993266648">
    <w:abstractNumId w:val="7"/>
  </w:num>
  <w:num w:numId="7" w16cid:durableId="1127622626">
    <w:abstractNumId w:val="0"/>
  </w:num>
  <w:num w:numId="8" w16cid:durableId="1150825145">
    <w:abstractNumId w:val="17"/>
  </w:num>
  <w:num w:numId="9" w16cid:durableId="213779684">
    <w:abstractNumId w:val="8"/>
  </w:num>
  <w:num w:numId="10" w16cid:durableId="1928735282">
    <w:abstractNumId w:val="14"/>
  </w:num>
  <w:num w:numId="11" w16cid:durableId="149103777">
    <w:abstractNumId w:val="2"/>
  </w:num>
  <w:num w:numId="12" w16cid:durableId="453596537">
    <w:abstractNumId w:val="15"/>
  </w:num>
  <w:num w:numId="13" w16cid:durableId="761680608">
    <w:abstractNumId w:val="3"/>
  </w:num>
  <w:num w:numId="14" w16cid:durableId="1650330065">
    <w:abstractNumId w:val="5"/>
  </w:num>
  <w:num w:numId="15" w16cid:durableId="1689794910">
    <w:abstractNumId w:val="4"/>
  </w:num>
  <w:num w:numId="16" w16cid:durableId="1098595047">
    <w:abstractNumId w:val="6"/>
  </w:num>
  <w:num w:numId="17" w16cid:durableId="88433997">
    <w:abstractNumId w:val="1"/>
  </w:num>
  <w:num w:numId="18" w16cid:durableId="7818453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54"/>
    <w:rsid w:val="00000806"/>
    <w:rsid w:val="00004C94"/>
    <w:rsid w:val="00007B72"/>
    <w:rsid w:val="00011BB4"/>
    <w:rsid w:val="00012083"/>
    <w:rsid w:val="00014C56"/>
    <w:rsid w:val="000279C3"/>
    <w:rsid w:val="00032D04"/>
    <w:rsid w:val="00037E55"/>
    <w:rsid w:val="00043E82"/>
    <w:rsid w:val="00045BD5"/>
    <w:rsid w:val="00047190"/>
    <w:rsid w:val="0006022E"/>
    <w:rsid w:val="00060A13"/>
    <w:rsid w:val="00067FA3"/>
    <w:rsid w:val="00072285"/>
    <w:rsid w:val="00075162"/>
    <w:rsid w:val="00081556"/>
    <w:rsid w:val="00097782"/>
    <w:rsid w:val="000B010C"/>
    <w:rsid w:val="000B4380"/>
    <w:rsid w:val="000C2484"/>
    <w:rsid w:val="000C4F13"/>
    <w:rsid w:val="000D274E"/>
    <w:rsid w:val="000D3EEE"/>
    <w:rsid w:val="000D3FAC"/>
    <w:rsid w:val="000D5056"/>
    <w:rsid w:val="000E70E5"/>
    <w:rsid w:val="000F005D"/>
    <w:rsid w:val="000F1CBB"/>
    <w:rsid w:val="000F527A"/>
    <w:rsid w:val="000F6963"/>
    <w:rsid w:val="001024A9"/>
    <w:rsid w:val="00102F27"/>
    <w:rsid w:val="001068DA"/>
    <w:rsid w:val="00116E2C"/>
    <w:rsid w:val="00117262"/>
    <w:rsid w:val="001176E6"/>
    <w:rsid w:val="00121035"/>
    <w:rsid w:val="001227F7"/>
    <w:rsid w:val="00124B6D"/>
    <w:rsid w:val="00124C45"/>
    <w:rsid w:val="00132BCB"/>
    <w:rsid w:val="00133132"/>
    <w:rsid w:val="00137939"/>
    <w:rsid w:val="00142679"/>
    <w:rsid w:val="00142737"/>
    <w:rsid w:val="00144E1C"/>
    <w:rsid w:val="00146048"/>
    <w:rsid w:val="001474DF"/>
    <w:rsid w:val="00156CE8"/>
    <w:rsid w:val="00163D2D"/>
    <w:rsid w:val="00165BD3"/>
    <w:rsid w:val="00173EAC"/>
    <w:rsid w:val="00177339"/>
    <w:rsid w:val="00191787"/>
    <w:rsid w:val="00192898"/>
    <w:rsid w:val="001949D5"/>
    <w:rsid w:val="001A4457"/>
    <w:rsid w:val="001B15F2"/>
    <w:rsid w:val="001C123C"/>
    <w:rsid w:val="001C2A96"/>
    <w:rsid w:val="001C6CB6"/>
    <w:rsid w:val="001D0DDF"/>
    <w:rsid w:val="001D33C6"/>
    <w:rsid w:val="001E31A3"/>
    <w:rsid w:val="001E4CC1"/>
    <w:rsid w:val="001F06F2"/>
    <w:rsid w:val="001F23AA"/>
    <w:rsid w:val="001F2E89"/>
    <w:rsid w:val="00204381"/>
    <w:rsid w:val="002105CB"/>
    <w:rsid w:val="002140B2"/>
    <w:rsid w:val="00215DB3"/>
    <w:rsid w:val="00216996"/>
    <w:rsid w:val="00230663"/>
    <w:rsid w:val="00231497"/>
    <w:rsid w:val="0024318F"/>
    <w:rsid w:val="002516E6"/>
    <w:rsid w:val="00254246"/>
    <w:rsid w:val="002552A2"/>
    <w:rsid w:val="00256327"/>
    <w:rsid w:val="002569CB"/>
    <w:rsid w:val="00257E76"/>
    <w:rsid w:val="00267947"/>
    <w:rsid w:val="00270893"/>
    <w:rsid w:val="0029043C"/>
    <w:rsid w:val="0029192A"/>
    <w:rsid w:val="00292D44"/>
    <w:rsid w:val="00294F21"/>
    <w:rsid w:val="002A13D3"/>
    <w:rsid w:val="002A3925"/>
    <w:rsid w:val="002B1E2D"/>
    <w:rsid w:val="002B378E"/>
    <w:rsid w:val="002C1CAE"/>
    <w:rsid w:val="002C2641"/>
    <w:rsid w:val="002D0618"/>
    <w:rsid w:val="002D0675"/>
    <w:rsid w:val="002E1ECC"/>
    <w:rsid w:val="002E5673"/>
    <w:rsid w:val="002E7FD2"/>
    <w:rsid w:val="002F5ED2"/>
    <w:rsid w:val="00305727"/>
    <w:rsid w:val="00307D36"/>
    <w:rsid w:val="00311F54"/>
    <w:rsid w:val="003167D1"/>
    <w:rsid w:val="00320ED5"/>
    <w:rsid w:val="00325892"/>
    <w:rsid w:val="003266D3"/>
    <w:rsid w:val="003303A9"/>
    <w:rsid w:val="00337219"/>
    <w:rsid w:val="00337644"/>
    <w:rsid w:val="0034026D"/>
    <w:rsid w:val="00343632"/>
    <w:rsid w:val="00356ACD"/>
    <w:rsid w:val="0035763F"/>
    <w:rsid w:val="00361F9A"/>
    <w:rsid w:val="00363B74"/>
    <w:rsid w:val="0036465A"/>
    <w:rsid w:val="0036471E"/>
    <w:rsid w:val="00372BF5"/>
    <w:rsid w:val="00376EAD"/>
    <w:rsid w:val="0037794B"/>
    <w:rsid w:val="00381FAD"/>
    <w:rsid w:val="003843E9"/>
    <w:rsid w:val="00384EA8"/>
    <w:rsid w:val="00390F99"/>
    <w:rsid w:val="00393155"/>
    <w:rsid w:val="00393D55"/>
    <w:rsid w:val="00393DD5"/>
    <w:rsid w:val="003B3E8E"/>
    <w:rsid w:val="003B45C4"/>
    <w:rsid w:val="003C25FC"/>
    <w:rsid w:val="003C433B"/>
    <w:rsid w:val="003C6D47"/>
    <w:rsid w:val="003C7189"/>
    <w:rsid w:val="003D2698"/>
    <w:rsid w:val="003D481D"/>
    <w:rsid w:val="003D5CA0"/>
    <w:rsid w:val="003D7332"/>
    <w:rsid w:val="003E4A28"/>
    <w:rsid w:val="003E4A91"/>
    <w:rsid w:val="003E5CC9"/>
    <w:rsid w:val="003F15EE"/>
    <w:rsid w:val="004016F5"/>
    <w:rsid w:val="00403790"/>
    <w:rsid w:val="00404B97"/>
    <w:rsid w:val="00405155"/>
    <w:rsid w:val="00423BCF"/>
    <w:rsid w:val="004273F5"/>
    <w:rsid w:val="00432D54"/>
    <w:rsid w:val="004330FC"/>
    <w:rsid w:val="0043583C"/>
    <w:rsid w:val="00437A5E"/>
    <w:rsid w:val="00441C5C"/>
    <w:rsid w:val="00443F00"/>
    <w:rsid w:val="00446573"/>
    <w:rsid w:val="004475B4"/>
    <w:rsid w:val="00447D72"/>
    <w:rsid w:val="00450C31"/>
    <w:rsid w:val="00451EC2"/>
    <w:rsid w:val="004611A3"/>
    <w:rsid w:val="00463E8E"/>
    <w:rsid w:val="00465347"/>
    <w:rsid w:val="00473353"/>
    <w:rsid w:val="00477AE5"/>
    <w:rsid w:val="004805D7"/>
    <w:rsid w:val="00483EF3"/>
    <w:rsid w:val="004850C3"/>
    <w:rsid w:val="004A2E2A"/>
    <w:rsid w:val="004A75BF"/>
    <w:rsid w:val="004A7FD4"/>
    <w:rsid w:val="004B662D"/>
    <w:rsid w:val="004C11A1"/>
    <w:rsid w:val="004C4712"/>
    <w:rsid w:val="004C5591"/>
    <w:rsid w:val="004C5BA5"/>
    <w:rsid w:val="004D3AE9"/>
    <w:rsid w:val="004E13EF"/>
    <w:rsid w:val="004E6CEB"/>
    <w:rsid w:val="00500514"/>
    <w:rsid w:val="00502960"/>
    <w:rsid w:val="00505774"/>
    <w:rsid w:val="00511090"/>
    <w:rsid w:val="00524D80"/>
    <w:rsid w:val="00532898"/>
    <w:rsid w:val="00532A85"/>
    <w:rsid w:val="00532F08"/>
    <w:rsid w:val="00542236"/>
    <w:rsid w:val="00542E7C"/>
    <w:rsid w:val="005437EE"/>
    <w:rsid w:val="0055054A"/>
    <w:rsid w:val="005516C7"/>
    <w:rsid w:val="0055297D"/>
    <w:rsid w:val="005541EE"/>
    <w:rsid w:val="005566E8"/>
    <w:rsid w:val="00562487"/>
    <w:rsid w:val="0056516D"/>
    <w:rsid w:val="00572950"/>
    <w:rsid w:val="00574826"/>
    <w:rsid w:val="00575B51"/>
    <w:rsid w:val="00581845"/>
    <w:rsid w:val="0058743A"/>
    <w:rsid w:val="005904EF"/>
    <w:rsid w:val="00593E7A"/>
    <w:rsid w:val="00594A57"/>
    <w:rsid w:val="0059587B"/>
    <w:rsid w:val="005A0B8F"/>
    <w:rsid w:val="005A2316"/>
    <w:rsid w:val="005A3235"/>
    <w:rsid w:val="005A374C"/>
    <w:rsid w:val="005A75F4"/>
    <w:rsid w:val="005B53A1"/>
    <w:rsid w:val="005C2260"/>
    <w:rsid w:val="005D25BE"/>
    <w:rsid w:val="005D5D2B"/>
    <w:rsid w:val="005D7C9D"/>
    <w:rsid w:val="005E3D87"/>
    <w:rsid w:val="005E4294"/>
    <w:rsid w:val="005F0448"/>
    <w:rsid w:val="005F1804"/>
    <w:rsid w:val="005F1B35"/>
    <w:rsid w:val="005F1D37"/>
    <w:rsid w:val="00603E83"/>
    <w:rsid w:val="00604354"/>
    <w:rsid w:val="00607D07"/>
    <w:rsid w:val="0061199D"/>
    <w:rsid w:val="00615310"/>
    <w:rsid w:val="00621B82"/>
    <w:rsid w:val="00622E07"/>
    <w:rsid w:val="00624FAA"/>
    <w:rsid w:val="00630101"/>
    <w:rsid w:val="0063057E"/>
    <w:rsid w:val="00632D4E"/>
    <w:rsid w:val="00632E36"/>
    <w:rsid w:val="00633BBE"/>
    <w:rsid w:val="006354A0"/>
    <w:rsid w:val="00635D31"/>
    <w:rsid w:val="006416CA"/>
    <w:rsid w:val="006449EE"/>
    <w:rsid w:val="00644AF6"/>
    <w:rsid w:val="0064676F"/>
    <w:rsid w:val="00650ED6"/>
    <w:rsid w:val="00651006"/>
    <w:rsid w:val="006559DE"/>
    <w:rsid w:val="00657730"/>
    <w:rsid w:val="00664AE6"/>
    <w:rsid w:val="006679D9"/>
    <w:rsid w:val="00680C74"/>
    <w:rsid w:val="00683F10"/>
    <w:rsid w:val="00686B0A"/>
    <w:rsid w:val="00690F54"/>
    <w:rsid w:val="00697EAC"/>
    <w:rsid w:val="006A0E1E"/>
    <w:rsid w:val="006A5A0F"/>
    <w:rsid w:val="006A6644"/>
    <w:rsid w:val="006B49F5"/>
    <w:rsid w:val="006C0831"/>
    <w:rsid w:val="006C0EB6"/>
    <w:rsid w:val="006C1301"/>
    <w:rsid w:val="006D3375"/>
    <w:rsid w:val="006D414F"/>
    <w:rsid w:val="006D42CF"/>
    <w:rsid w:val="006D526F"/>
    <w:rsid w:val="006E362D"/>
    <w:rsid w:val="006E6D7D"/>
    <w:rsid w:val="006F1633"/>
    <w:rsid w:val="006F67BA"/>
    <w:rsid w:val="007074A7"/>
    <w:rsid w:val="00710BDB"/>
    <w:rsid w:val="00715762"/>
    <w:rsid w:val="0071762C"/>
    <w:rsid w:val="007214C5"/>
    <w:rsid w:val="00725749"/>
    <w:rsid w:val="007263EF"/>
    <w:rsid w:val="00735F14"/>
    <w:rsid w:val="007374BA"/>
    <w:rsid w:val="0074383E"/>
    <w:rsid w:val="0074431F"/>
    <w:rsid w:val="0075206F"/>
    <w:rsid w:val="00752A01"/>
    <w:rsid w:val="00754830"/>
    <w:rsid w:val="00761EBE"/>
    <w:rsid w:val="00764D9D"/>
    <w:rsid w:val="00791B36"/>
    <w:rsid w:val="00793661"/>
    <w:rsid w:val="007957BD"/>
    <w:rsid w:val="007A4456"/>
    <w:rsid w:val="007A632C"/>
    <w:rsid w:val="007B5DC1"/>
    <w:rsid w:val="007B6B16"/>
    <w:rsid w:val="007B6D6B"/>
    <w:rsid w:val="007D540C"/>
    <w:rsid w:val="007E1227"/>
    <w:rsid w:val="007E5716"/>
    <w:rsid w:val="007F5C4E"/>
    <w:rsid w:val="00812D99"/>
    <w:rsid w:val="008237B5"/>
    <w:rsid w:val="00831135"/>
    <w:rsid w:val="008319E1"/>
    <w:rsid w:val="00837092"/>
    <w:rsid w:val="00847528"/>
    <w:rsid w:val="0085004E"/>
    <w:rsid w:val="00850A3A"/>
    <w:rsid w:val="00852FE5"/>
    <w:rsid w:val="00856AF1"/>
    <w:rsid w:val="00862986"/>
    <w:rsid w:val="00863762"/>
    <w:rsid w:val="00863E2B"/>
    <w:rsid w:val="008663A9"/>
    <w:rsid w:val="00873563"/>
    <w:rsid w:val="00873A69"/>
    <w:rsid w:val="008818F4"/>
    <w:rsid w:val="00881C19"/>
    <w:rsid w:val="00883EF8"/>
    <w:rsid w:val="008948D4"/>
    <w:rsid w:val="008A0041"/>
    <w:rsid w:val="008B0F8A"/>
    <w:rsid w:val="008B59E9"/>
    <w:rsid w:val="008B7EED"/>
    <w:rsid w:val="008C3F94"/>
    <w:rsid w:val="008D15C2"/>
    <w:rsid w:val="008D2163"/>
    <w:rsid w:val="008E5E66"/>
    <w:rsid w:val="008E768F"/>
    <w:rsid w:val="008F2514"/>
    <w:rsid w:val="008F672B"/>
    <w:rsid w:val="00901C5B"/>
    <w:rsid w:val="00914638"/>
    <w:rsid w:val="00920D4E"/>
    <w:rsid w:val="0092489E"/>
    <w:rsid w:val="00925A50"/>
    <w:rsid w:val="0092664E"/>
    <w:rsid w:val="00931D60"/>
    <w:rsid w:val="009339D4"/>
    <w:rsid w:val="00942B4D"/>
    <w:rsid w:val="009514DA"/>
    <w:rsid w:val="00951FD6"/>
    <w:rsid w:val="00952573"/>
    <w:rsid w:val="00962F10"/>
    <w:rsid w:val="00965478"/>
    <w:rsid w:val="00965B12"/>
    <w:rsid w:val="009671B4"/>
    <w:rsid w:val="009702F2"/>
    <w:rsid w:val="00981941"/>
    <w:rsid w:val="00987D97"/>
    <w:rsid w:val="009917BA"/>
    <w:rsid w:val="0099273F"/>
    <w:rsid w:val="009976E9"/>
    <w:rsid w:val="009A0365"/>
    <w:rsid w:val="009A4F74"/>
    <w:rsid w:val="009A5FE9"/>
    <w:rsid w:val="009B134A"/>
    <w:rsid w:val="009B1BEA"/>
    <w:rsid w:val="009C50A8"/>
    <w:rsid w:val="009E0044"/>
    <w:rsid w:val="009E5785"/>
    <w:rsid w:val="00A03A36"/>
    <w:rsid w:val="00A068CD"/>
    <w:rsid w:val="00A17A32"/>
    <w:rsid w:val="00A21730"/>
    <w:rsid w:val="00A21B1C"/>
    <w:rsid w:val="00A35BDA"/>
    <w:rsid w:val="00A35FB5"/>
    <w:rsid w:val="00A4743C"/>
    <w:rsid w:val="00A474C7"/>
    <w:rsid w:val="00A476D7"/>
    <w:rsid w:val="00A609DC"/>
    <w:rsid w:val="00A622DA"/>
    <w:rsid w:val="00A66983"/>
    <w:rsid w:val="00A77017"/>
    <w:rsid w:val="00A8260B"/>
    <w:rsid w:val="00A83444"/>
    <w:rsid w:val="00A94954"/>
    <w:rsid w:val="00AB5068"/>
    <w:rsid w:val="00AB53DD"/>
    <w:rsid w:val="00AC13E9"/>
    <w:rsid w:val="00AC16EE"/>
    <w:rsid w:val="00AC3532"/>
    <w:rsid w:val="00AC37D1"/>
    <w:rsid w:val="00AC5347"/>
    <w:rsid w:val="00AC5364"/>
    <w:rsid w:val="00AD7BA0"/>
    <w:rsid w:val="00AE5975"/>
    <w:rsid w:val="00AF0A23"/>
    <w:rsid w:val="00AF2B65"/>
    <w:rsid w:val="00AF70C8"/>
    <w:rsid w:val="00B0765D"/>
    <w:rsid w:val="00B07D5E"/>
    <w:rsid w:val="00B175F0"/>
    <w:rsid w:val="00B214B6"/>
    <w:rsid w:val="00B24259"/>
    <w:rsid w:val="00B25AD3"/>
    <w:rsid w:val="00B44A32"/>
    <w:rsid w:val="00B479B0"/>
    <w:rsid w:val="00B639D1"/>
    <w:rsid w:val="00B63F93"/>
    <w:rsid w:val="00B7161B"/>
    <w:rsid w:val="00B80E6D"/>
    <w:rsid w:val="00B96CC8"/>
    <w:rsid w:val="00BA1DB3"/>
    <w:rsid w:val="00BA7B1C"/>
    <w:rsid w:val="00BB6BEE"/>
    <w:rsid w:val="00BC6827"/>
    <w:rsid w:val="00BD74B8"/>
    <w:rsid w:val="00BD7D9C"/>
    <w:rsid w:val="00BE1177"/>
    <w:rsid w:val="00BE1BEC"/>
    <w:rsid w:val="00BE7B1F"/>
    <w:rsid w:val="00BF336D"/>
    <w:rsid w:val="00BF7708"/>
    <w:rsid w:val="00C01E0B"/>
    <w:rsid w:val="00C03D64"/>
    <w:rsid w:val="00C11076"/>
    <w:rsid w:val="00C13BA7"/>
    <w:rsid w:val="00C20DE6"/>
    <w:rsid w:val="00C223D7"/>
    <w:rsid w:val="00C2259E"/>
    <w:rsid w:val="00C24485"/>
    <w:rsid w:val="00C24EBD"/>
    <w:rsid w:val="00C24FD3"/>
    <w:rsid w:val="00C27EF1"/>
    <w:rsid w:val="00C333E1"/>
    <w:rsid w:val="00C418AB"/>
    <w:rsid w:val="00C4342E"/>
    <w:rsid w:val="00C45A78"/>
    <w:rsid w:val="00C50DFC"/>
    <w:rsid w:val="00C51D6F"/>
    <w:rsid w:val="00C608F8"/>
    <w:rsid w:val="00C61386"/>
    <w:rsid w:val="00C62DF8"/>
    <w:rsid w:val="00C717A9"/>
    <w:rsid w:val="00C7373C"/>
    <w:rsid w:val="00C80784"/>
    <w:rsid w:val="00C84542"/>
    <w:rsid w:val="00C851F3"/>
    <w:rsid w:val="00C852B3"/>
    <w:rsid w:val="00C858A3"/>
    <w:rsid w:val="00C904A1"/>
    <w:rsid w:val="00C95846"/>
    <w:rsid w:val="00C96832"/>
    <w:rsid w:val="00C9710D"/>
    <w:rsid w:val="00CA7D38"/>
    <w:rsid w:val="00CB2790"/>
    <w:rsid w:val="00CB2AC8"/>
    <w:rsid w:val="00CC0E52"/>
    <w:rsid w:val="00CD45CA"/>
    <w:rsid w:val="00CD47E9"/>
    <w:rsid w:val="00CE235C"/>
    <w:rsid w:val="00CE3407"/>
    <w:rsid w:val="00CF36CB"/>
    <w:rsid w:val="00CF3AF2"/>
    <w:rsid w:val="00CF4006"/>
    <w:rsid w:val="00D00934"/>
    <w:rsid w:val="00D03358"/>
    <w:rsid w:val="00D04471"/>
    <w:rsid w:val="00D14CA2"/>
    <w:rsid w:val="00D156C0"/>
    <w:rsid w:val="00D17071"/>
    <w:rsid w:val="00D22B17"/>
    <w:rsid w:val="00D23E09"/>
    <w:rsid w:val="00D26100"/>
    <w:rsid w:val="00D27296"/>
    <w:rsid w:val="00D309D7"/>
    <w:rsid w:val="00D345F3"/>
    <w:rsid w:val="00D36313"/>
    <w:rsid w:val="00D446A6"/>
    <w:rsid w:val="00D500A1"/>
    <w:rsid w:val="00D54B5F"/>
    <w:rsid w:val="00D54BE1"/>
    <w:rsid w:val="00D571F5"/>
    <w:rsid w:val="00D61D26"/>
    <w:rsid w:val="00D67455"/>
    <w:rsid w:val="00D73172"/>
    <w:rsid w:val="00D87E1A"/>
    <w:rsid w:val="00D9076B"/>
    <w:rsid w:val="00DA3B75"/>
    <w:rsid w:val="00DA5A95"/>
    <w:rsid w:val="00DB06D4"/>
    <w:rsid w:val="00DB2789"/>
    <w:rsid w:val="00DB36EA"/>
    <w:rsid w:val="00DB53CE"/>
    <w:rsid w:val="00DC1C6A"/>
    <w:rsid w:val="00DC22DD"/>
    <w:rsid w:val="00DC53DD"/>
    <w:rsid w:val="00DC6BE5"/>
    <w:rsid w:val="00DC7E4D"/>
    <w:rsid w:val="00DD4309"/>
    <w:rsid w:val="00DE6B13"/>
    <w:rsid w:val="00DF0ECF"/>
    <w:rsid w:val="00DF1729"/>
    <w:rsid w:val="00DF3C95"/>
    <w:rsid w:val="00DF3FDA"/>
    <w:rsid w:val="00DF457B"/>
    <w:rsid w:val="00E00026"/>
    <w:rsid w:val="00E05A1C"/>
    <w:rsid w:val="00E15163"/>
    <w:rsid w:val="00E2404C"/>
    <w:rsid w:val="00E24BDB"/>
    <w:rsid w:val="00E57A6E"/>
    <w:rsid w:val="00E66624"/>
    <w:rsid w:val="00E66AD7"/>
    <w:rsid w:val="00E74B4E"/>
    <w:rsid w:val="00E7594F"/>
    <w:rsid w:val="00E90DFE"/>
    <w:rsid w:val="00E91AEA"/>
    <w:rsid w:val="00E927C9"/>
    <w:rsid w:val="00EA4FA0"/>
    <w:rsid w:val="00EA58B8"/>
    <w:rsid w:val="00EB0473"/>
    <w:rsid w:val="00EB3813"/>
    <w:rsid w:val="00EB6512"/>
    <w:rsid w:val="00EC369D"/>
    <w:rsid w:val="00ED548B"/>
    <w:rsid w:val="00ED69D1"/>
    <w:rsid w:val="00ED6FCB"/>
    <w:rsid w:val="00EE0355"/>
    <w:rsid w:val="00EE31ED"/>
    <w:rsid w:val="00EF175A"/>
    <w:rsid w:val="00EF1792"/>
    <w:rsid w:val="00EF4ED0"/>
    <w:rsid w:val="00EF65F5"/>
    <w:rsid w:val="00F06912"/>
    <w:rsid w:val="00F12221"/>
    <w:rsid w:val="00F1630B"/>
    <w:rsid w:val="00F23C4C"/>
    <w:rsid w:val="00F24367"/>
    <w:rsid w:val="00F25B29"/>
    <w:rsid w:val="00F307D2"/>
    <w:rsid w:val="00F32C4E"/>
    <w:rsid w:val="00F35CC2"/>
    <w:rsid w:val="00F43835"/>
    <w:rsid w:val="00F47B8C"/>
    <w:rsid w:val="00F528A6"/>
    <w:rsid w:val="00F639C9"/>
    <w:rsid w:val="00F6413D"/>
    <w:rsid w:val="00F82FD7"/>
    <w:rsid w:val="00F854B3"/>
    <w:rsid w:val="00F8644E"/>
    <w:rsid w:val="00F92F36"/>
    <w:rsid w:val="00F953A7"/>
    <w:rsid w:val="00FB632E"/>
    <w:rsid w:val="00FC0413"/>
    <w:rsid w:val="00FC0BCD"/>
    <w:rsid w:val="00FC3519"/>
    <w:rsid w:val="00FC47B2"/>
    <w:rsid w:val="00FD7515"/>
    <w:rsid w:val="00FE22EE"/>
    <w:rsid w:val="00FE512B"/>
    <w:rsid w:val="00FE5DAE"/>
    <w:rsid w:val="00FE6719"/>
    <w:rsid w:val="00FF34DE"/>
    <w:rsid w:val="00FF3CD3"/>
    <w:rsid w:val="00FF4C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59CF5"/>
  <w15:chartTrackingRefBased/>
  <w15:docId w15:val="{F0661EFA-3008-463E-B6CF-3D96E19C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A0041"/>
    <w:pPr>
      <w:keepNext/>
      <w:numPr>
        <w:numId w:val="16"/>
      </w:numPr>
      <w:spacing w:before="240" w:after="120" w:line="240" w:lineRule="auto"/>
      <w:jc w:val="both"/>
      <w:outlineLvl w:val="0"/>
    </w:pPr>
    <w:rPr>
      <w:rFonts w:ascii="Arial" w:eastAsia="Times New Roman" w:hAnsi="Arial" w:cs="Times New Roman"/>
      <w:b/>
      <w:bCs/>
      <w:caps/>
      <w:kern w:val="28"/>
      <w:sz w:val="28"/>
      <w:szCs w:val="20"/>
    </w:rPr>
  </w:style>
  <w:style w:type="paragraph" w:styleId="Heading2">
    <w:name w:val="heading 2"/>
    <w:basedOn w:val="Normal"/>
    <w:next w:val="Normal"/>
    <w:link w:val="Heading2Char"/>
    <w:qFormat/>
    <w:rsid w:val="008A0041"/>
    <w:pPr>
      <w:keepNext/>
      <w:numPr>
        <w:ilvl w:val="1"/>
        <w:numId w:val="16"/>
      </w:numPr>
      <w:tabs>
        <w:tab w:val="left" w:pos="720"/>
      </w:tabs>
      <w:spacing w:after="240" w:line="240" w:lineRule="auto"/>
      <w:jc w:val="both"/>
      <w:outlineLvl w:val="1"/>
    </w:pPr>
    <w:rPr>
      <w:rFonts w:ascii="Arial Bold" w:eastAsia="Times New Roman" w:hAnsi="Arial Bold" w:cs="Times New Roman"/>
      <w:b/>
      <w:caps/>
      <w:snapToGrid w:val="0"/>
      <w:szCs w:val="20"/>
    </w:rPr>
  </w:style>
  <w:style w:type="paragraph" w:styleId="Heading4">
    <w:name w:val="heading 4"/>
    <w:basedOn w:val="Normal"/>
    <w:next w:val="Normal"/>
    <w:link w:val="Heading4Char"/>
    <w:qFormat/>
    <w:rsid w:val="008A0041"/>
    <w:pPr>
      <w:keepNext/>
      <w:numPr>
        <w:ilvl w:val="3"/>
        <w:numId w:val="16"/>
      </w:numPr>
      <w:spacing w:before="240" w:after="60" w:line="240" w:lineRule="auto"/>
      <w:jc w:val="both"/>
      <w:outlineLvl w:val="3"/>
    </w:pPr>
    <w:rPr>
      <w:rFonts w:ascii="Arial" w:eastAsia="Times New Roman" w:hAnsi="Arial" w:cs="Times New Roman"/>
      <w:b/>
      <w:bCs/>
      <w:sz w:val="28"/>
      <w:szCs w:val="28"/>
      <w:lang w:val="en-GB"/>
    </w:rPr>
  </w:style>
  <w:style w:type="paragraph" w:styleId="Heading5">
    <w:name w:val="heading 5"/>
    <w:basedOn w:val="Normal"/>
    <w:next w:val="Normal"/>
    <w:link w:val="Heading5Char"/>
    <w:qFormat/>
    <w:rsid w:val="008A0041"/>
    <w:pPr>
      <w:numPr>
        <w:ilvl w:val="4"/>
        <w:numId w:val="16"/>
      </w:num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rsid w:val="008A0041"/>
    <w:pPr>
      <w:numPr>
        <w:ilvl w:val="5"/>
        <w:numId w:val="16"/>
      </w:numPr>
      <w:spacing w:before="240" w:after="60" w:line="240" w:lineRule="auto"/>
      <w:jc w:val="both"/>
      <w:outlineLvl w:val="5"/>
    </w:pPr>
    <w:rPr>
      <w:rFonts w:ascii="Arial" w:eastAsia="Times New Roman" w:hAnsi="Arial" w:cs="Times New Roman"/>
      <w:b/>
      <w:bCs/>
      <w:lang w:val="en-GB"/>
    </w:rPr>
  </w:style>
  <w:style w:type="paragraph" w:styleId="Heading7">
    <w:name w:val="heading 7"/>
    <w:basedOn w:val="Normal"/>
    <w:next w:val="Normal"/>
    <w:link w:val="Heading7Char"/>
    <w:qFormat/>
    <w:rsid w:val="008A0041"/>
    <w:pPr>
      <w:numPr>
        <w:ilvl w:val="6"/>
        <w:numId w:val="16"/>
      </w:numPr>
      <w:spacing w:before="240" w:after="60" w:line="240" w:lineRule="auto"/>
      <w:jc w:val="both"/>
      <w:outlineLvl w:val="6"/>
    </w:pPr>
    <w:rPr>
      <w:rFonts w:ascii="Arial" w:eastAsia="Times New Roman" w:hAnsi="Arial" w:cs="Times New Roman"/>
      <w:szCs w:val="24"/>
      <w:lang w:val="en-GB"/>
    </w:rPr>
  </w:style>
  <w:style w:type="paragraph" w:styleId="Heading8">
    <w:name w:val="heading 8"/>
    <w:basedOn w:val="Normal"/>
    <w:next w:val="Normal"/>
    <w:link w:val="Heading8Char"/>
    <w:qFormat/>
    <w:rsid w:val="008A0041"/>
    <w:pPr>
      <w:numPr>
        <w:ilvl w:val="7"/>
        <w:numId w:val="16"/>
      </w:numPr>
      <w:spacing w:before="240" w:after="60" w:line="240" w:lineRule="auto"/>
      <w:jc w:val="both"/>
      <w:outlineLvl w:val="7"/>
    </w:pPr>
    <w:rPr>
      <w:rFonts w:ascii="Arial" w:eastAsia="Times New Roman" w:hAnsi="Arial" w:cs="Times New Roman"/>
      <w:i/>
      <w:iCs/>
      <w:szCs w:val="24"/>
      <w:lang w:val="en-GB"/>
    </w:rPr>
  </w:style>
  <w:style w:type="paragraph" w:styleId="Heading9">
    <w:name w:val="heading 9"/>
    <w:basedOn w:val="Normal"/>
    <w:next w:val="Normal"/>
    <w:link w:val="Heading9Char"/>
    <w:qFormat/>
    <w:rsid w:val="008A0041"/>
    <w:pPr>
      <w:numPr>
        <w:ilvl w:val="8"/>
        <w:numId w:val="16"/>
      </w:numPr>
      <w:spacing w:before="240" w:after="60" w:line="240" w:lineRule="auto"/>
      <w:jc w:val="both"/>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354"/>
    <w:pPr>
      <w:spacing w:after="0" w:line="240" w:lineRule="auto"/>
      <w:ind w:left="720"/>
      <w:contextualSpacing/>
    </w:pPr>
    <w:rPr>
      <w:rFonts w:ascii="Arial" w:eastAsia="Times New Roman" w:hAnsi="Arial" w:cs="Times New Roman"/>
      <w:sz w:val="20"/>
      <w:szCs w:val="24"/>
      <w:lang w:eastAsia="en-AU"/>
    </w:rPr>
  </w:style>
  <w:style w:type="table" w:styleId="TableGrid">
    <w:name w:val="Table Grid"/>
    <w:basedOn w:val="TableNormal"/>
    <w:uiPriority w:val="59"/>
    <w:rsid w:val="00604354"/>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4354"/>
    <w:pPr>
      <w:spacing w:after="0" w:line="240" w:lineRule="auto"/>
    </w:pPr>
    <w:rPr>
      <w:rFonts w:eastAsiaTheme="minorEastAsia"/>
      <w:lang w:eastAsia="en-AU"/>
    </w:rPr>
  </w:style>
  <w:style w:type="paragraph" w:styleId="Header">
    <w:name w:val="header"/>
    <w:basedOn w:val="Normal"/>
    <w:link w:val="HeaderChar"/>
    <w:uiPriority w:val="99"/>
    <w:unhideWhenUsed/>
    <w:rsid w:val="007A6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32C"/>
  </w:style>
  <w:style w:type="paragraph" w:styleId="Footer">
    <w:name w:val="footer"/>
    <w:basedOn w:val="Normal"/>
    <w:link w:val="FooterChar"/>
    <w:uiPriority w:val="99"/>
    <w:unhideWhenUsed/>
    <w:rsid w:val="007A6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32C"/>
  </w:style>
  <w:style w:type="paragraph" w:styleId="NormalWeb">
    <w:name w:val="Normal (Web)"/>
    <w:basedOn w:val="Normal"/>
    <w:uiPriority w:val="99"/>
    <w:semiHidden/>
    <w:unhideWhenUsed/>
    <w:rsid w:val="00011BB4"/>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630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57E"/>
    <w:rPr>
      <w:rFonts w:ascii="Segoe UI" w:hAnsi="Segoe UI" w:cs="Segoe UI"/>
      <w:sz w:val="18"/>
      <w:szCs w:val="18"/>
    </w:rPr>
  </w:style>
  <w:style w:type="character" w:styleId="Hyperlink">
    <w:name w:val="Hyperlink"/>
    <w:basedOn w:val="DefaultParagraphFont"/>
    <w:uiPriority w:val="99"/>
    <w:unhideWhenUsed/>
    <w:rsid w:val="00D04471"/>
    <w:rPr>
      <w:color w:val="0563C1" w:themeColor="hyperlink"/>
      <w:u w:val="single"/>
    </w:rPr>
  </w:style>
  <w:style w:type="character" w:styleId="FollowedHyperlink">
    <w:name w:val="FollowedHyperlink"/>
    <w:basedOn w:val="DefaultParagraphFont"/>
    <w:uiPriority w:val="99"/>
    <w:semiHidden/>
    <w:unhideWhenUsed/>
    <w:rsid w:val="00FC47B2"/>
    <w:rPr>
      <w:color w:val="954F72" w:themeColor="followedHyperlink"/>
      <w:u w:val="single"/>
    </w:rPr>
  </w:style>
  <w:style w:type="paragraph" w:customStyle="1" w:styleId="Default">
    <w:name w:val="Default"/>
    <w:rsid w:val="0055054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8A0041"/>
    <w:rPr>
      <w:rFonts w:ascii="Arial" w:eastAsia="Times New Roman" w:hAnsi="Arial" w:cs="Times New Roman"/>
      <w:b/>
      <w:bCs/>
      <w:caps/>
      <w:kern w:val="28"/>
      <w:sz w:val="28"/>
      <w:szCs w:val="20"/>
    </w:rPr>
  </w:style>
  <w:style w:type="character" w:customStyle="1" w:styleId="Heading2Char">
    <w:name w:val="Heading 2 Char"/>
    <w:basedOn w:val="DefaultParagraphFont"/>
    <w:link w:val="Heading2"/>
    <w:rsid w:val="008A0041"/>
    <w:rPr>
      <w:rFonts w:ascii="Arial Bold" w:eastAsia="Times New Roman" w:hAnsi="Arial Bold" w:cs="Times New Roman"/>
      <w:b/>
      <w:caps/>
      <w:snapToGrid w:val="0"/>
      <w:szCs w:val="20"/>
    </w:rPr>
  </w:style>
  <w:style w:type="character" w:customStyle="1" w:styleId="Heading4Char">
    <w:name w:val="Heading 4 Char"/>
    <w:basedOn w:val="DefaultParagraphFont"/>
    <w:link w:val="Heading4"/>
    <w:rsid w:val="008A0041"/>
    <w:rPr>
      <w:rFonts w:ascii="Arial" w:eastAsia="Times New Roman" w:hAnsi="Arial" w:cs="Times New Roman"/>
      <w:b/>
      <w:bCs/>
      <w:sz w:val="28"/>
      <w:szCs w:val="28"/>
      <w:lang w:val="en-GB"/>
    </w:rPr>
  </w:style>
  <w:style w:type="character" w:customStyle="1" w:styleId="Heading5Char">
    <w:name w:val="Heading 5 Char"/>
    <w:basedOn w:val="DefaultParagraphFont"/>
    <w:link w:val="Heading5"/>
    <w:rsid w:val="008A0041"/>
    <w:rPr>
      <w:rFonts w:ascii="Arial" w:eastAsia="Times New Roman" w:hAnsi="Arial" w:cs="Times New Roman"/>
      <w:szCs w:val="20"/>
    </w:rPr>
  </w:style>
  <w:style w:type="character" w:customStyle="1" w:styleId="Heading6Char">
    <w:name w:val="Heading 6 Char"/>
    <w:basedOn w:val="DefaultParagraphFont"/>
    <w:link w:val="Heading6"/>
    <w:rsid w:val="008A0041"/>
    <w:rPr>
      <w:rFonts w:ascii="Arial" w:eastAsia="Times New Roman" w:hAnsi="Arial" w:cs="Times New Roman"/>
      <w:b/>
      <w:bCs/>
      <w:lang w:val="en-GB"/>
    </w:rPr>
  </w:style>
  <w:style w:type="character" w:customStyle="1" w:styleId="Heading7Char">
    <w:name w:val="Heading 7 Char"/>
    <w:basedOn w:val="DefaultParagraphFont"/>
    <w:link w:val="Heading7"/>
    <w:rsid w:val="008A0041"/>
    <w:rPr>
      <w:rFonts w:ascii="Arial" w:eastAsia="Times New Roman" w:hAnsi="Arial" w:cs="Times New Roman"/>
      <w:szCs w:val="24"/>
      <w:lang w:val="en-GB"/>
    </w:rPr>
  </w:style>
  <w:style w:type="character" w:customStyle="1" w:styleId="Heading8Char">
    <w:name w:val="Heading 8 Char"/>
    <w:basedOn w:val="DefaultParagraphFont"/>
    <w:link w:val="Heading8"/>
    <w:rsid w:val="008A0041"/>
    <w:rPr>
      <w:rFonts w:ascii="Arial" w:eastAsia="Times New Roman" w:hAnsi="Arial" w:cs="Times New Roman"/>
      <w:i/>
      <w:iCs/>
      <w:szCs w:val="24"/>
      <w:lang w:val="en-GB"/>
    </w:rPr>
  </w:style>
  <w:style w:type="character" w:customStyle="1" w:styleId="Heading9Char">
    <w:name w:val="Heading 9 Char"/>
    <w:basedOn w:val="DefaultParagraphFont"/>
    <w:link w:val="Heading9"/>
    <w:rsid w:val="008A0041"/>
    <w:rPr>
      <w:rFonts w:ascii="Arial" w:eastAsia="Times New Roman" w:hAnsi="Arial" w:cs="Arial"/>
      <w:lang w:val="en-GB"/>
    </w:rPr>
  </w:style>
  <w:style w:type="character" w:styleId="UnresolvedMention">
    <w:name w:val="Unresolved Mention"/>
    <w:basedOn w:val="DefaultParagraphFont"/>
    <w:uiPriority w:val="99"/>
    <w:semiHidden/>
    <w:unhideWhenUsed/>
    <w:rsid w:val="00EA58B8"/>
    <w:rPr>
      <w:color w:val="605E5C"/>
      <w:shd w:val="clear" w:color="auto" w:fill="E1DFDD"/>
    </w:rPr>
  </w:style>
  <w:style w:type="character" w:styleId="CommentReference">
    <w:name w:val="annotation reference"/>
    <w:basedOn w:val="DefaultParagraphFont"/>
    <w:uiPriority w:val="99"/>
    <w:semiHidden/>
    <w:unhideWhenUsed/>
    <w:rsid w:val="00032D04"/>
    <w:rPr>
      <w:sz w:val="16"/>
      <w:szCs w:val="16"/>
    </w:rPr>
  </w:style>
  <w:style w:type="paragraph" w:styleId="CommentText">
    <w:name w:val="annotation text"/>
    <w:basedOn w:val="Normal"/>
    <w:link w:val="CommentTextChar"/>
    <w:uiPriority w:val="99"/>
    <w:unhideWhenUsed/>
    <w:rsid w:val="00032D04"/>
    <w:pPr>
      <w:spacing w:line="240" w:lineRule="auto"/>
    </w:pPr>
    <w:rPr>
      <w:sz w:val="20"/>
      <w:szCs w:val="20"/>
    </w:rPr>
  </w:style>
  <w:style w:type="character" w:customStyle="1" w:styleId="CommentTextChar">
    <w:name w:val="Comment Text Char"/>
    <w:basedOn w:val="DefaultParagraphFont"/>
    <w:link w:val="CommentText"/>
    <w:uiPriority w:val="99"/>
    <w:rsid w:val="00032D04"/>
    <w:rPr>
      <w:sz w:val="20"/>
      <w:szCs w:val="20"/>
    </w:rPr>
  </w:style>
  <w:style w:type="paragraph" w:styleId="CommentSubject">
    <w:name w:val="annotation subject"/>
    <w:basedOn w:val="CommentText"/>
    <w:next w:val="CommentText"/>
    <w:link w:val="CommentSubjectChar"/>
    <w:uiPriority w:val="99"/>
    <w:semiHidden/>
    <w:unhideWhenUsed/>
    <w:rsid w:val="00032D04"/>
    <w:rPr>
      <w:b/>
      <w:bCs/>
    </w:rPr>
  </w:style>
  <w:style w:type="character" w:customStyle="1" w:styleId="CommentSubjectChar">
    <w:name w:val="Comment Subject Char"/>
    <w:basedOn w:val="CommentTextChar"/>
    <w:link w:val="CommentSubject"/>
    <w:uiPriority w:val="99"/>
    <w:semiHidden/>
    <w:rsid w:val="00032D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015136">
      <w:bodyDiv w:val="1"/>
      <w:marLeft w:val="0"/>
      <w:marRight w:val="0"/>
      <w:marTop w:val="0"/>
      <w:marBottom w:val="0"/>
      <w:divBdr>
        <w:top w:val="none" w:sz="0" w:space="0" w:color="auto"/>
        <w:left w:val="none" w:sz="0" w:space="0" w:color="auto"/>
        <w:bottom w:val="none" w:sz="0" w:space="0" w:color="auto"/>
        <w:right w:val="none" w:sz="0" w:space="0" w:color="auto"/>
      </w:divBdr>
    </w:div>
    <w:div w:id="200666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lgsc.wa.gov.au/department/publications/publication/rating-policy-differential-rat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karrathawagovau.sharepoint.com/sites/FinancialServices/Shared%20Documents/Management%20Accounting/Budgets/25-26/3.%20Execution/Rates/Budget%20deficiency%20calcul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Graph</a:t>
            </a:r>
            <a:r>
              <a:rPr lang="en-AU" baseline="0"/>
              <a:t> 1: Indicative % Contribution by Category</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txPr>
    </c:title>
    <c:autoTitleDeleted val="0"/>
    <c:plotArea>
      <c:layout/>
      <c:barChart>
        <c:barDir val="bar"/>
        <c:grouping val="stacked"/>
        <c:varyColors val="0"/>
        <c:ser>
          <c:idx val="0"/>
          <c:order val="0"/>
          <c:spPr>
            <a:solidFill>
              <a:schemeClr val="accent1"/>
            </a:solidFill>
            <a:ln>
              <a:noFill/>
            </a:ln>
            <a:effectLst/>
          </c:spPr>
          <c:invertIfNegative val="0"/>
          <c:cat>
            <c:strRef>
              <c:f>'Rates graphs'!$A$3:$A$8</c:f>
              <c:strCache>
                <c:ptCount val="6"/>
                <c:pt idx="0">
                  <c:v>Pastoral and Mining/Other Categories (UV)</c:v>
                </c:pt>
                <c:pt idx="1">
                  <c:v>Strategic Industry (UV)</c:v>
                </c:pt>
                <c:pt idx="2">
                  <c:v>Residential Properties (GRV)</c:v>
                </c:pt>
                <c:pt idx="3">
                  <c:v>Airport/Strategic Industry properties (GRV)</c:v>
                </c:pt>
                <c:pt idx="4">
                  <c:v>Commercial/Industrial properties (GRV)</c:v>
                </c:pt>
                <c:pt idx="5">
                  <c:v>Transient Workforce Accommodation (GRV)</c:v>
                </c:pt>
              </c:strCache>
            </c:strRef>
          </c:cat>
          <c:val>
            <c:numRef>
              <c:f>'Rates graphs'!$B$3:$B$8</c:f>
            </c:numRef>
          </c:val>
          <c:extLst>
            <c:ext xmlns:c16="http://schemas.microsoft.com/office/drawing/2014/chart" uri="{C3380CC4-5D6E-409C-BE32-E72D297353CC}">
              <c16:uniqueId val="{00000000-35BF-4D2C-AB67-205A8112215F}"/>
            </c:ext>
          </c:extLst>
        </c:ser>
        <c:ser>
          <c:idx val="1"/>
          <c:order val="1"/>
          <c:spPr>
            <a:solidFill>
              <a:schemeClr val="accent2"/>
            </a:solidFill>
            <a:ln>
              <a:noFill/>
            </a:ln>
            <a:effectLst/>
          </c:spPr>
          <c:invertIfNegative val="0"/>
          <c:dPt>
            <c:idx val="2"/>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2-35BF-4D2C-AB67-205A8112215F}"/>
              </c:ext>
            </c:extLst>
          </c:dPt>
          <c:dPt>
            <c:idx val="3"/>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4-35BF-4D2C-AB67-205A8112215F}"/>
              </c:ext>
            </c:extLst>
          </c:dPt>
          <c:dPt>
            <c:idx val="4"/>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6-35BF-4D2C-AB67-205A8112215F}"/>
              </c:ext>
            </c:extLst>
          </c:dPt>
          <c:dPt>
            <c:idx val="5"/>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8-35BF-4D2C-AB67-205A8112215F}"/>
              </c:ext>
            </c:extLst>
          </c:dPt>
          <c:cat>
            <c:strRef>
              <c:f>'Rates graphs'!$A$3:$A$8</c:f>
              <c:strCache>
                <c:ptCount val="6"/>
                <c:pt idx="0">
                  <c:v>Pastoral and Mining/Other Categories (UV)</c:v>
                </c:pt>
                <c:pt idx="1">
                  <c:v>Strategic Industry (UV)</c:v>
                </c:pt>
                <c:pt idx="2">
                  <c:v>Residential Properties (GRV)</c:v>
                </c:pt>
                <c:pt idx="3">
                  <c:v>Airport/Strategic Industry properties (GRV)</c:v>
                </c:pt>
                <c:pt idx="4">
                  <c:v>Commercial/Industrial properties (GRV)</c:v>
                </c:pt>
                <c:pt idx="5">
                  <c:v>Transient Workforce Accommodation (GRV)</c:v>
                </c:pt>
              </c:strCache>
            </c:strRef>
          </c:cat>
          <c:val>
            <c:numRef>
              <c:f>'Rates graphs'!$C$3:$C$8</c:f>
              <c:numCache>
                <c:formatCode>0%</c:formatCode>
                <c:ptCount val="6"/>
                <c:pt idx="0">
                  <c:v>2.8743987850988705E-2</c:v>
                </c:pt>
                <c:pt idx="1">
                  <c:v>0.34480420287417285</c:v>
                </c:pt>
                <c:pt idx="2">
                  <c:v>0.32561488297566005</c:v>
                </c:pt>
                <c:pt idx="3">
                  <c:v>2.1145779594872186E-2</c:v>
                </c:pt>
                <c:pt idx="4">
                  <c:v>0.14430666929584549</c:v>
                </c:pt>
                <c:pt idx="5">
                  <c:v>0.13538447740846077</c:v>
                </c:pt>
              </c:numCache>
            </c:numRef>
          </c:val>
          <c:extLst>
            <c:ext xmlns:c16="http://schemas.microsoft.com/office/drawing/2014/chart" uri="{C3380CC4-5D6E-409C-BE32-E72D297353CC}">
              <c16:uniqueId val="{00000009-35BF-4D2C-AB67-205A8112215F}"/>
            </c:ext>
          </c:extLst>
        </c:ser>
        <c:dLbls>
          <c:showLegendKey val="0"/>
          <c:showVal val="0"/>
          <c:showCatName val="0"/>
          <c:showSerName val="0"/>
          <c:showPercent val="0"/>
          <c:showBubbleSize val="0"/>
        </c:dLbls>
        <c:gapWidth val="150"/>
        <c:overlap val="100"/>
        <c:axId val="848237040"/>
        <c:axId val="848232360"/>
      </c:barChart>
      <c:catAx>
        <c:axId val="848237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232360"/>
        <c:crosses val="autoZero"/>
        <c:auto val="1"/>
        <c:lblAlgn val="ctr"/>
        <c:lblOffset val="100"/>
        <c:noMultiLvlLbl val="0"/>
      </c:catAx>
      <c:valAx>
        <c:axId val="8482323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237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915B288A73341AF9B3BFA36481AAA" ma:contentTypeVersion="11" ma:contentTypeDescription="Create a new document." ma:contentTypeScope="" ma:versionID="72ed7f888821081830612b9b7e9d2374">
  <xsd:schema xmlns:xsd="http://www.w3.org/2001/XMLSchema" xmlns:xs="http://www.w3.org/2001/XMLSchema" xmlns:p="http://schemas.microsoft.com/office/2006/metadata/properties" xmlns:ns2="7fb1517c-ab47-4e19-98c6-50cc047ec0cc" xmlns:ns3="e5606b41-39f5-4076-84f3-7f958fcb0d64" targetNamespace="http://schemas.microsoft.com/office/2006/metadata/properties" ma:root="true" ma:fieldsID="a8228083f067be4477d9914bb0cecf10" ns2:_="" ns3:_="">
    <xsd:import namespace="7fb1517c-ab47-4e19-98c6-50cc047ec0cc"/>
    <xsd:import namespace="e5606b41-39f5-4076-84f3-7f958fcb0d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1517c-ab47-4e19-98c6-50cc047ec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f821cd-a722-42ae-b721-d70dd2e15ca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06b41-39f5-4076-84f3-7f958fcb0d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391bd-bf71-4fea-94d4-13302b3d2961}" ma:internalName="TaxCatchAll" ma:showField="CatchAllData" ma:web="e5606b41-39f5-4076-84f3-7f958fcb0d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606b41-39f5-4076-84f3-7f958fcb0d64" xsi:nil="true"/>
    <lcf76f155ced4ddcb4097134ff3c332f xmlns="7fb1517c-ab47-4e19-98c6-50cc047ec0c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9BDE2-3B95-4CE9-9F63-D56A27D6C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1517c-ab47-4e19-98c6-50cc047ec0cc"/>
    <ds:schemaRef ds:uri="e5606b41-39f5-4076-84f3-7f958fcb0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F51A59-D57E-4D10-9BE9-BAE5205EC2D9}">
  <ds:schemaRefs>
    <ds:schemaRef ds:uri="http://schemas.microsoft.com/office/2006/metadata/properties"/>
    <ds:schemaRef ds:uri="http://schemas.microsoft.com/office/infopath/2007/PartnerControls"/>
    <ds:schemaRef ds:uri="e5606b41-39f5-4076-84f3-7f958fcb0d64"/>
    <ds:schemaRef ds:uri="7fb1517c-ab47-4e19-98c6-50cc047ec0cc"/>
  </ds:schemaRefs>
</ds:datastoreItem>
</file>

<file path=customXml/itemProps3.xml><?xml version="1.0" encoding="utf-8"?>
<ds:datastoreItem xmlns:ds="http://schemas.openxmlformats.org/officeDocument/2006/customXml" ds:itemID="{D301660D-A8FD-496C-83CA-1E4FE7075E8C}">
  <ds:schemaRefs>
    <ds:schemaRef ds:uri="http://schemas.openxmlformats.org/officeDocument/2006/bibliography"/>
  </ds:schemaRefs>
</ds:datastoreItem>
</file>

<file path=customXml/itemProps4.xml><?xml version="1.0" encoding="utf-8"?>
<ds:datastoreItem xmlns:ds="http://schemas.openxmlformats.org/officeDocument/2006/customXml" ds:itemID="{6779316C-206E-4D04-8C54-46D62F22D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6</Pages>
  <Words>2928</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Shire of Roebourne</Company>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Franssen</dc:creator>
  <cp:keywords/>
  <dc:description/>
  <cp:lastModifiedBy>Christine Palmer</cp:lastModifiedBy>
  <cp:revision>202</cp:revision>
  <cp:lastPrinted>2022-04-06T07:53:00Z</cp:lastPrinted>
  <dcterms:created xsi:type="dcterms:W3CDTF">2025-04-04T03:39:00Z</dcterms:created>
  <dcterms:modified xsi:type="dcterms:W3CDTF">2025-05-26T01:40:00Z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K44473D00</vt:lpwstr>
  </property>
  <property fmtid="{D5CDD505-2E9C-101B-9397-08002B2CF9AE}" pid="3" name="ContentTypeId">
    <vt:lpwstr>0x010100253915B288A73341AF9B3BFA36481AAA</vt:lpwstr>
  </property>
  <property fmtid="{D5CDD505-2E9C-101B-9397-08002B2CF9AE}" pid="4" name="MediaServiceImageTags">
    <vt:lpwstr/>
  </property>
</Properties>
</file>